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rFonts w:ascii="맑은 고딕" w:eastAsia="맑은 고딕" w:hAnsi="맑은 고딕"/>
          <w:b/>
          <w:bCs/>
          <w:sz w:val="44"/>
          <w:szCs w:val="34"/>
        </w:rPr>
      </w:pPr>
      <w:r>
        <w:rPr>
          <w:rFonts w:ascii="맑은 고딕" w:eastAsia="맑은 고딕" w:hAnsi="맑은 고딕" w:hint="eastAsia"/>
          <w:b/>
          <w:bCs/>
          <w:sz w:val="24"/>
        </w:rPr>
        <w:t>[별첨</w:t>
      </w:r>
      <w:r>
        <w:rPr>
          <w:rFonts w:ascii="맑은 고딕" w:eastAsia="맑은 고딕" w:hAnsi="맑은 고딕" w:hint="eastAsia"/>
          <w:b/>
          <w:bCs/>
          <w:sz w:val="24"/>
        </w:rPr>
        <w:t>1</w:t>
      </w:r>
      <w:r>
        <w:rPr>
          <w:rFonts w:ascii="맑은 고딕" w:eastAsia="맑은 고딕" w:hAnsi="맑은 고딕" w:hint="eastAsia"/>
          <w:b/>
          <w:bCs/>
          <w:sz w:val="24"/>
        </w:rPr>
        <w:t>]</w:t>
      </w:r>
      <w:r>
        <w:rPr>
          <w:rFonts w:ascii="맑은 고딕" w:eastAsia="맑은 고딕" w:hAnsi="맑은 고딕" w:hint="eastAsia"/>
          <w:b/>
          <w:bCs/>
          <w:sz w:val="34"/>
          <w:szCs w:val="34"/>
        </w:rPr>
        <w:t xml:space="preserve">               </w:t>
      </w:r>
      <w:r>
        <w:rPr>
          <w:rFonts w:ascii="맑은 고딕" w:eastAsia="맑은 고딕" w:hAnsi="맑은 고딕" w:hint="eastAsia"/>
          <w:b/>
          <w:bCs/>
          <w:sz w:val="44"/>
          <w:szCs w:val="34"/>
        </w:rPr>
        <w:t>과업 지시서</w:t>
      </w:r>
    </w:p>
    <w:p>
      <w:pPr>
        <w:adjustRightInd/>
        <w:spacing w:line="500" w:lineRule="exact"/>
        <w:rPr>
          <w:rFonts w:ascii="맑은 고딕" w:eastAsia="맑은 고딕" w:hAnsi="맑은 고딕"/>
          <w:b/>
          <w:bCs/>
          <w:sz w:val="44"/>
          <w:szCs w:val="34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/>
          <w:b/>
          <w:bCs/>
          <w:sz w:val="22"/>
          <w:szCs w:val="22"/>
        </w:rPr>
        <w:t xml:space="preserve">1. 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과업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명</w:t>
      </w:r>
    </w:p>
    <w:p>
      <w:pPr>
        <w:adjustRightInd/>
        <w:spacing w:line="500" w:lineRule="exact"/>
        <w:rPr>
          <w:rFonts w:ascii="맑은 고딕" w:eastAsia="맑은 고딕" w:hAnsi="맑은 고딕" w:cs="Arial"/>
          <w:i/>
          <w:iCs/>
          <w:color w:val="000000"/>
          <w:szCs w:val="20"/>
        </w:rPr>
      </w:pPr>
      <w:r>
        <w:rPr>
          <w:rFonts w:ascii="맑은 고딕" w:eastAsia="맑은 고딕" w:hAnsi="맑은 고딕" w:cs="Arial" w:hint="eastAsia"/>
          <w:i/>
          <w:iCs/>
          <w:color w:val="000000"/>
          <w:szCs w:val="20"/>
        </w:rPr>
        <w:t>D5-CM System on Module 설계 Rework(</w:t>
      </w:r>
      <w:r>
        <w:rPr>
          <w:rFonts w:ascii="맑은 고딕" w:eastAsia="맑은 고딕" w:hAnsi="맑은 고딕" w:cs="Arial" w:hint="eastAsia"/>
          <w:i/>
          <w:iCs/>
          <w:color w:val="000000"/>
          <w:szCs w:val="20"/>
        </w:rPr>
        <w:t>이슈</w:t>
      </w:r>
      <w:r>
        <w:rPr>
          <w:rFonts w:ascii="맑은 고딕" w:eastAsia="맑은 고딕" w:hAnsi="맑은 고딕" w:cs="Arial" w:hint="eastAsia"/>
          <w:i/>
          <w:iCs/>
          <w:color w:val="000000"/>
          <w:szCs w:val="20"/>
        </w:rPr>
        <w:t>수정)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color w:val="0070C0"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2. 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과업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 목표</w:t>
      </w:r>
    </w:p>
    <w:p>
      <w:pPr>
        <w:adjustRightInd/>
        <w:spacing w:line="500" w:lineRule="exact"/>
        <w:rPr>
          <w:rFonts w:ascii="맑은 고딕" w:eastAsia="맑은 고딕" w:hAnsi="맑은 고딕" w:cs="Arial"/>
          <w:i/>
          <w:color w:val="000000"/>
          <w:szCs w:val="20"/>
        </w:rPr>
      </w:pPr>
      <w:r>
        <w:rPr>
          <w:rFonts w:ascii="맑은 고딕" w:eastAsia="맑은 고딕" w:hAnsi="맑은 고딕" w:cs="Arial" w:hint="eastAsia"/>
          <w:i/>
          <w:color w:val="000000"/>
          <w:szCs w:val="20"/>
        </w:rPr>
        <w:t>Telechips</w:t>
      </w:r>
      <w:r>
        <w:rPr>
          <w:rFonts w:ascii="맑은 고딕" w:eastAsia="맑은 고딕" w:hAnsi="맑은 고딕" w:cs="Arial" w:hint="eastAsia"/>
          <w:i/>
          <w:color w:val="000000"/>
          <w:szCs w:val="20"/>
        </w:rPr>
        <w:t xml:space="preserve"> Dolphin5 기반의 System on Module의 설계 이슈 수정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i/>
          <w:color w:val="0070C0"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/>
          <w:b/>
          <w:bCs/>
          <w:sz w:val="22"/>
          <w:szCs w:val="22"/>
        </w:rPr>
        <w:t>3. 과업 범위 및 내용</w:t>
      </w:r>
    </w:p>
    <w:p>
      <w:pPr>
        <w:autoSpaceDE/>
        <w:autoSpaceDN/>
        <w:widowControl/>
        <w:wordWrap/>
        <w:jc w:val="lef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szCs w:val="20"/>
        </w:rPr>
        <w:t>D5 Module 설계 (회로) 수정</w:t>
      </w:r>
    </w:p>
    <w:p>
      <w:pPr>
        <w:autoSpaceDE/>
        <w:autoSpaceDN/>
        <w:widowControl/>
        <w:wordWrap/>
        <w:jc w:val="lef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4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. 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마일스톤 별 일정 및 산출물, 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최종견적가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, 개발 기간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675"/>
        <w:gridCol w:w="2552"/>
        <w:gridCol w:w="992"/>
        <w:gridCol w:w="1021"/>
        <w:gridCol w:w="4002"/>
      </w:tblGrid>
      <w:tr>
        <w:trPr>
          <w:trHeight w:val="413" w:hRule="atLeast"/>
        </w:trPr>
        <w:tc>
          <w:tcPr>
            <w:tcW w:w="675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Milestone</w:t>
            </w:r>
          </w:p>
        </w:tc>
        <w:tc>
          <w:tcPr>
            <w:tcW w:w="2552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Work Module</w:t>
            </w:r>
          </w:p>
        </w:tc>
        <w:tc>
          <w:tcPr>
            <w:tcW w:w="992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Timeline</w:t>
            </w:r>
          </w:p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(Weeks)</w:t>
            </w:r>
          </w:p>
        </w:tc>
        <w:tc>
          <w:tcPr>
            <w:tcW w:w="1021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Amount</w:t>
            </w:r>
          </w:p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 xml:space="preserve">(만원) </w:t>
            </w:r>
          </w:p>
        </w:tc>
        <w:tc>
          <w:tcPr>
            <w:tcW w:w="4002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Deliverables</w:t>
            </w:r>
          </w:p>
        </w:tc>
      </w:tr>
      <w:tr>
        <w:tc>
          <w:tcPr>
            <w:tcW w:w="67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M1</w:t>
            </w:r>
          </w:p>
        </w:tc>
        <w:tc>
          <w:tcPr>
            <w:tcW w:w="2552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Cs/>
                <w:i/>
                <w:color w:val="000000"/>
                <w:sz w:val="18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>회로 설계/리뷰</w:t>
            </w:r>
          </w:p>
          <w:p>
            <w:pPr>
              <w:jc w:val="left"/>
              <w:rPr>
                <w:rFonts w:ascii="맑은 고딕" w:eastAsia="맑은 고딕" w:hAnsi="맑은 고딕"/>
                <w:bCs/>
                <w:i/>
                <w:color w:val="0070C0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>기확인된</w:t>
            </w: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 xml:space="preserve"> 이슈 리뷰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  <w:iCs/>
                <w:color w:val="000000"/>
              </w:rPr>
            </w:pP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 xml:space="preserve">T0 </w:t>
            </w: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+ 4</w:t>
            </w:r>
          </w:p>
        </w:tc>
        <w:tc>
          <w:tcPr>
            <w:tcW w:w="1021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iCs/>
              </w:rPr>
            </w:pP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900</w:t>
            </w:r>
          </w:p>
        </w:tc>
        <w:tc>
          <w:tcPr>
            <w:tcW w:w="4002" w:type="dxa"/>
            <w:vAlign w:val="center"/>
          </w:tcPr>
          <w:p>
            <w:pPr>
              <w:rPr>
                <w:rFonts w:ascii="맑은 고딕" w:eastAsia="맑은 고딕" w:hAnsi="맑은 고딕"/>
                <w:iCs/>
              </w:rPr>
            </w:pPr>
            <w:r>
              <w:rPr>
                <w:rFonts w:ascii="맑은 고딕" w:eastAsia="맑은 고딕" w:hAnsi="맑은 고딕" w:hint="eastAsia"/>
                <w:iCs/>
              </w:rPr>
              <w:t>이슈 발생 원인 분석 및 수정 방법</w:t>
            </w:r>
          </w:p>
        </w:tc>
      </w:tr>
      <w:tr>
        <w:tc>
          <w:tcPr>
            <w:tcW w:w="67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M</w:t>
            </w:r>
            <w:r>
              <w:rPr>
                <w:rFonts w:ascii="맑은 고딕" w:eastAsia="맑은 고딕" w:hAnsi="맑은 고딕" w:hint="eastAsia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Cs/>
                <w:i/>
                <w:color w:val="000000"/>
                <w:sz w:val="18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>이슈 수정</w:t>
            </w:r>
          </w:p>
          <w:p>
            <w:pPr>
              <w:jc w:val="left"/>
              <w:rPr>
                <w:rFonts w:ascii="맑은 고딕" w:eastAsia="맑은 고딕" w:hAnsi="맑은 고딕"/>
                <w:bCs/>
                <w:i/>
                <w:color w:val="000000"/>
                <w:sz w:val="18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>회로 설계/리뷰</w:t>
            </w: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  <w:iCs/>
                <w:color w:val="000000"/>
              </w:rPr>
            </w:pP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T0 + 8</w:t>
            </w:r>
          </w:p>
        </w:tc>
        <w:tc>
          <w:tcPr>
            <w:tcW w:w="1021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  <w:iCs/>
                <w:color w:val="000000"/>
              </w:rPr>
            </w:pP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2100</w:t>
            </w:r>
          </w:p>
        </w:tc>
        <w:tc>
          <w:tcPr>
            <w:tcW w:w="4002" w:type="dxa"/>
            <w:vAlign w:val="center"/>
          </w:tcPr>
          <w:p>
            <w:pPr>
              <w:rPr>
                <w:rFonts w:ascii="맑은 고딕" w:eastAsia="맑은 고딕" w:hAnsi="맑은 고딕"/>
                <w:iCs/>
              </w:rPr>
            </w:pPr>
            <w:r>
              <w:rPr>
                <w:rFonts w:ascii="맑은 고딕" w:eastAsia="맑은 고딕" w:hAnsi="맑은 고딕" w:hint="eastAsia"/>
                <w:iCs/>
              </w:rPr>
              <w:t>PoC 회로 산출물</w:t>
            </w:r>
          </w:p>
        </w:tc>
      </w:tr>
    </w:tbl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i/>
          <w:color w:val="0070C0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Total Cost: </w:t>
      </w:r>
      <w:r>
        <w:rPr>
          <w:rFonts w:ascii="맑은 고딕" w:eastAsia="맑은 고딕" w:hAnsi="맑은 고딕" w:cs="Arial" w:hint="eastAsia"/>
          <w:b/>
          <w:bCs/>
          <w:color w:val="000000"/>
          <w:sz w:val="22"/>
          <w:szCs w:val="22"/>
        </w:rPr>
        <w:t>\</w:t>
      </w:r>
      <w:r>
        <w:rPr>
          <w:rFonts w:ascii="맑은 고딕" w:eastAsia="맑은 고딕" w:hAnsi="맑은 고딕" w:cs="Arial" w:hint="eastAsia"/>
          <w:b/>
          <w:bCs/>
          <w:color w:val="000000"/>
          <w:szCs w:val="22"/>
        </w:rPr>
        <w:t xml:space="preserve"> </w:t>
      </w:r>
      <w:r>
        <w:rPr>
          <w:rFonts w:ascii="맑은 고딕" w:eastAsia="맑은 고딕" w:hAnsi="맑은 고딕" w:cs="Arial" w:hint="eastAsia"/>
          <w:b/>
          <w:bCs/>
          <w:color w:val="000000"/>
          <w:szCs w:val="22"/>
        </w:rPr>
        <w:t>30</w:t>
      </w:r>
      <w:r>
        <w:rPr>
          <w:rFonts w:ascii="맑은 고딕" w:eastAsia="맑은 고딕" w:hAnsi="맑은 고딕" w:cs="Arial" w:hint="eastAsia"/>
          <w:b/>
          <w:bCs/>
          <w:color w:val="000000"/>
          <w:szCs w:val="22"/>
        </w:rPr>
        <w:t>,000,000 (VAT 별도)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제작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 기간: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 2026. 0</w:t>
      </w:r>
      <w:r>
        <w:rPr>
          <w:lang w:eastAsia="ko-KR"/>
          <w:rFonts w:ascii="맑은 고딕" w:eastAsia="맑은 고딕" w:hAnsi="맑은 고딕" w:cs="Arial" w:hint="eastAsia"/>
          <w:b/>
          <w:bCs/>
          <w:sz w:val="22"/>
          <w:szCs w:val="22"/>
          <w:rtl w:val="off"/>
        </w:rPr>
        <w:t>6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 ~ 2026.0</w:t>
      </w:r>
      <w:r>
        <w:rPr>
          <w:lang w:eastAsia="ko-KR"/>
          <w:rFonts w:ascii="맑은 고딕" w:eastAsia="맑은 고딕" w:hAnsi="맑은 고딕" w:cs="Arial" w:hint="eastAsia"/>
          <w:b/>
          <w:bCs/>
          <w:sz w:val="22"/>
          <w:szCs w:val="22"/>
          <w:rtl w:val="off"/>
        </w:rPr>
        <w:t>9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5. 수용 조건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fixed"/>
      </w:tblPr>
      <w:tblGrid>
        <w:gridCol w:w="675"/>
        <w:gridCol w:w="2552"/>
        <w:gridCol w:w="6015"/>
      </w:tblGrid>
      <w:tr>
        <w:trPr>
          <w:trHeight w:val="413" w:hRule="atLeast"/>
        </w:trPr>
        <w:tc>
          <w:tcPr>
            <w:tcW w:w="675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Milestone</w:t>
            </w:r>
          </w:p>
        </w:tc>
        <w:tc>
          <w:tcPr>
            <w:tcW w:w="2552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Work Module</w:t>
            </w:r>
          </w:p>
        </w:tc>
        <w:tc>
          <w:tcPr>
            <w:tcW w:w="6015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sz w:val="18"/>
              </w:rPr>
            </w:pPr>
            <w:r>
              <w:rPr>
                <w:rFonts w:ascii="맑은 고딕" w:eastAsia="맑은 고딕" w:hAnsi="맑은 고딕" w:hint="eastAsia"/>
                <w:b/>
                <w:sz w:val="18"/>
              </w:rPr>
              <w:t>Acceptance Criteria</w:t>
            </w:r>
          </w:p>
        </w:tc>
      </w:tr>
      <w:tr>
        <w:tc>
          <w:tcPr>
            <w:tcW w:w="67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M1</w:t>
            </w:r>
          </w:p>
        </w:tc>
        <w:tc>
          <w:tcPr>
            <w:tcW w:w="2552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Cs/>
                <w:i/>
                <w:color w:val="000000"/>
                <w:sz w:val="18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>회로 설계/리뷰</w:t>
            </w:r>
          </w:p>
          <w:p>
            <w:pPr>
              <w:jc w:val="left"/>
              <w:rPr>
                <w:rFonts w:ascii="맑은 고딕" w:eastAsia="맑은 고딕" w:hAnsi="맑은 고딕"/>
                <w:b/>
                <w:i/>
                <w:color w:val="0070C0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>기확인된</w:t>
            </w: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 xml:space="preserve"> 이슈 리뷰</w:t>
            </w:r>
          </w:p>
        </w:tc>
        <w:tc>
          <w:tcPr>
            <w:tcW w:w="6015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Cs/>
                <w:iCs/>
                <w:color w:val="0070C0"/>
              </w:rPr>
            </w:pPr>
            <w:r>
              <w:rPr>
                <w:rFonts w:ascii="맑은 고딕" w:eastAsia="맑은 고딕" w:hAnsi="맑은 고딕"/>
                <w:bCs/>
                <w:iCs/>
                <w:color w:val="000000"/>
              </w:rPr>
              <w:t>‘</w:t>
            </w: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발주처와 공급처가 상호 협의하여 결정</w:t>
            </w:r>
          </w:p>
        </w:tc>
      </w:tr>
      <w:tr>
        <w:tc>
          <w:tcPr>
            <w:tcW w:w="675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M</w:t>
            </w:r>
            <w:r>
              <w:rPr>
                <w:rFonts w:ascii="맑은 고딕" w:eastAsia="맑은 고딕" w:hAnsi="맑은 고딕" w:hint="eastAsia"/>
                <w:b/>
              </w:rPr>
              <w:t>2</w:t>
            </w:r>
          </w:p>
        </w:tc>
        <w:tc>
          <w:tcPr>
            <w:tcW w:w="2552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Cs/>
                <w:i/>
                <w:color w:val="000000"/>
                <w:sz w:val="18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>이슈 수정</w:t>
            </w:r>
          </w:p>
          <w:p>
            <w:pPr>
              <w:jc w:val="left"/>
              <w:rPr>
                <w:rFonts w:ascii="맑은 고딕" w:eastAsia="맑은 고딕" w:hAnsi="맑은 고딕"/>
                <w:bCs/>
                <w:i/>
                <w:color w:val="000000"/>
                <w:sz w:val="18"/>
                <w:szCs w:val="22"/>
              </w:rPr>
            </w:pPr>
            <w:r>
              <w:rPr>
                <w:rFonts w:ascii="맑은 고딕" w:eastAsia="맑은 고딕" w:hAnsi="맑은 고딕" w:hint="eastAsia"/>
                <w:bCs/>
                <w:i/>
                <w:color w:val="000000"/>
                <w:sz w:val="18"/>
                <w:szCs w:val="22"/>
              </w:rPr>
              <w:t>회로 설계/리뷰</w:t>
            </w:r>
          </w:p>
        </w:tc>
        <w:tc>
          <w:tcPr>
            <w:tcW w:w="6015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Cs/>
                <w:iCs/>
                <w:color w:val="000000"/>
              </w:rPr>
            </w:pPr>
            <w:r>
              <w:rPr>
                <w:rFonts w:ascii="맑은 고딕" w:eastAsia="맑은 고딕" w:hAnsi="맑은 고딕"/>
                <w:bCs/>
                <w:iCs/>
                <w:color w:val="000000"/>
              </w:rPr>
              <w:t>‘</w:t>
            </w: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발주처와 공급처가 상호 협의하여 결정</w:t>
            </w:r>
          </w:p>
        </w:tc>
      </w:tr>
    </w:tbl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utoSpaceDE/>
        <w:autoSpaceDN/>
        <w:widowControl/>
        <w:wordWrap/>
        <w:jc w:val="lef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/>
          <w:b/>
          <w:bCs/>
          <w:sz w:val="22"/>
          <w:szCs w:val="22"/>
        </w:rPr>
        <w:br w:type="page"/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6. 리소스 계획(입찰 이후 용역업체 단가 확인 후 작성 예정)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1"/>
        <w:gridCol w:w="3413"/>
        <w:gridCol w:w="1010"/>
        <w:gridCol w:w="3496"/>
      </w:tblGrid>
      <w:tr>
        <w:trPr>
          <w:trHeight w:val="413" w:hRule="atLeast"/>
        </w:trPr>
        <w:tc>
          <w:tcPr>
            <w:tcW w:w="1141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Grade</w:t>
            </w:r>
          </w:p>
        </w:tc>
        <w:tc>
          <w:tcPr>
            <w:tcW w:w="3413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Role</w:t>
            </w:r>
          </w:p>
        </w:tc>
        <w:tc>
          <w:tcPr>
            <w:tcW w:w="1010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MM</w:t>
            </w:r>
          </w:p>
        </w:tc>
        <w:tc>
          <w:tcPr>
            <w:tcW w:w="3496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Amount (만원)</w:t>
            </w:r>
          </w:p>
        </w:tc>
      </w:tr>
      <w:tr>
        <w:tc>
          <w:tcPr>
            <w:tcW w:w="1141" w:type="dxa"/>
            <w:vMerge w:val="restart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특급</w:t>
            </w:r>
          </w:p>
        </w:tc>
        <w:tc>
          <w:tcPr>
            <w:tcW w:w="3413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Cs/>
                <w:iCs/>
                <w:color w:val="0070C0"/>
              </w:rPr>
            </w:pP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Project Manager</w:t>
            </w:r>
          </w:p>
        </w:tc>
        <w:tc>
          <w:tcPr>
            <w:tcW w:w="1010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  <w:color w:val="0070C0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c>
          <w:tcPr>
            <w:tcW w:w="1141" w:type="dxa"/>
            <w:vMerge w:val="continue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3413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/>
                <w:i/>
                <w:color w:val="0070C0"/>
              </w:rPr>
            </w:pP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H</w:t>
            </w:r>
            <w:r>
              <w:rPr>
                <w:rFonts w:ascii="맑은 고딕" w:eastAsia="맑은 고딕" w:hAnsi="맑은 고딕"/>
                <w:bCs/>
                <w:iCs/>
                <w:color w:val="000000"/>
              </w:rPr>
              <w:t>W1</w:t>
            </w:r>
          </w:p>
        </w:tc>
        <w:tc>
          <w:tcPr>
            <w:tcW w:w="1010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  <w:color w:val="0070C0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c>
          <w:tcPr>
            <w:tcW w:w="4554" w:type="dxa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Sub Total</w:t>
            </w:r>
          </w:p>
        </w:tc>
        <w:tc>
          <w:tcPr>
            <w:tcW w:w="1010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  <w:color w:val="0070C0"/>
              </w:rPr>
            </w:pPr>
          </w:p>
        </w:tc>
        <w:tc>
          <w:tcPr>
            <w:tcW w:w="3496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c>
          <w:tcPr>
            <w:tcW w:w="1141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고급</w:t>
            </w:r>
          </w:p>
        </w:tc>
        <w:tc>
          <w:tcPr>
            <w:tcW w:w="3413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b/>
                <w:i/>
                <w:color w:val="0070C0"/>
              </w:rPr>
            </w:pPr>
            <w:r>
              <w:rPr>
                <w:rFonts w:ascii="맑은 고딕" w:eastAsia="맑은 고딕" w:hAnsi="맑은 고딕" w:hint="eastAsia"/>
                <w:bCs/>
                <w:iCs/>
                <w:color w:val="000000"/>
              </w:rPr>
              <w:t>HW</w:t>
            </w:r>
            <w:r>
              <w:rPr>
                <w:rFonts w:ascii="맑은 고딕" w:eastAsia="맑은 고딕" w:hAnsi="맑은 고딕"/>
                <w:bCs/>
                <w:iCs/>
                <w:color w:val="000000"/>
              </w:rPr>
              <w:t>2</w:t>
            </w:r>
          </w:p>
        </w:tc>
        <w:tc>
          <w:tcPr>
            <w:tcW w:w="1010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  <w:color w:val="0070C0"/>
              </w:rPr>
            </w:pPr>
          </w:p>
        </w:tc>
        <w:tc>
          <w:tcPr>
            <w:tcW w:w="3496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c>
          <w:tcPr>
            <w:tcW w:w="4554" w:type="dxa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</w:rPr>
            </w:pPr>
            <w:r>
              <w:rPr>
                <w:rFonts w:ascii="맑은 고딕" w:eastAsia="맑은 고딕" w:hAnsi="맑은 고딕" w:hint="eastAsia"/>
                <w:b/>
              </w:rPr>
              <w:t>Sub Total</w:t>
            </w:r>
          </w:p>
        </w:tc>
        <w:tc>
          <w:tcPr>
            <w:tcW w:w="1010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color w:val="0070C0"/>
              </w:rPr>
            </w:pPr>
          </w:p>
        </w:tc>
        <w:tc>
          <w:tcPr>
            <w:tcW w:w="3496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rPr>
          <w:trHeight w:val="66" w:hRule="atLeast"/>
        </w:trPr>
        <w:tc>
          <w:tcPr>
            <w:tcW w:w="4554" w:type="dxa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b/>
              </w:rPr>
              <w:t>인건비</w:t>
            </w:r>
          </w:p>
        </w:tc>
        <w:tc>
          <w:tcPr>
            <w:tcW w:w="1010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96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</w:rPr>
            </w:pPr>
          </w:p>
        </w:tc>
      </w:tr>
      <w:tr>
        <w:trPr>
          <w:trHeight w:val="66" w:hRule="atLeast"/>
        </w:trPr>
        <w:tc>
          <w:tcPr>
            <w:tcW w:w="4554" w:type="dxa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재경비</w:t>
            </w:r>
            <w:r>
              <w:rPr>
                <w:rFonts w:ascii="맑은 고딕" w:eastAsia="맑은 고딕" w:hAnsi="맑은 고딕" w:hint="eastAsia"/>
                <w:b/>
              </w:rPr>
              <w:t xml:space="preserve"> 30%</w:t>
            </w:r>
          </w:p>
        </w:tc>
        <w:tc>
          <w:tcPr>
            <w:tcW w:w="1010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96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</w:rPr>
            </w:pPr>
          </w:p>
        </w:tc>
      </w:tr>
      <w:tr>
        <w:trPr>
          <w:trHeight w:val="66" w:hRule="atLeast"/>
        </w:trPr>
        <w:tc>
          <w:tcPr>
            <w:tcW w:w="4554" w:type="dxa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기술료 10%</w:t>
            </w:r>
          </w:p>
        </w:tc>
        <w:tc>
          <w:tcPr>
            <w:tcW w:w="1010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96" w:type="dxa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</w:rPr>
            </w:pPr>
          </w:p>
        </w:tc>
      </w:tr>
      <w:tr>
        <w:trPr>
          <w:trHeight w:val="66" w:hRule="atLeast"/>
        </w:trPr>
        <w:tc>
          <w:tcPr>
            <w:tcW w:w="4554" w:type="dxa"/>
            <w:gridSpan w:val="2"/>
            <w:shd w:val="clear" w:color="auto" w:fill="8DB3E2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TOTAL</w:t>
            </w:r>
          </w:p>
        </w:tc>
        <w:tc>
          <w:tcPr>
            <w:tcW w:w="1010" w:type="dxa"/>
            <w:shd w:val="clear" w:color="auto" w:fill="8DB3E2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  <w:color w:val="0070C0"/>
              </w:rPr>
            </w:pPr>
          </w:p>
        </w:tc>
        <w:tc>
          <w:tcPr>
            <w:tcW w:w="3496" w:type="dxa"/>
            <w:shd w:val="clear" w:color="auto" w:fill="8DB3E2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i/>
              </w:rPr>
            </w:pPr>
            <w:r>
              <w:rPr>
                <w:rFonts w:ascii="맑은 고딕" w:eastAsia="맑은 고딕" w:hAnsi="맑은 고딕" w:hint="eastAsia"/>
                <w:b/>
                <w:i/>
              </w:rPr>
              <w:t>3,000</w:t>
            </w:r>
          </w:p>
        </w:tc>
      </w:tr>
    </w:tbl>
    <w:p>
      <w:pPr>
        <w:adjustRightInd/>
        <w:pStyle w:val="aa"/>
        <w:ind w:leftChars="0"/>
        <w:numPr>
          <w:ilvl w:val="0"/>
          <w:numId w:val="1"/>
        </w:numPr>
        <w:spacing w:line="500" w:lineRule="exact"/>
        <w:rPr>
          <w:rFonts w:ascii="맑은 고딕" w:eastAsia="맑은 고딕" w:hAnsi="맑은 고딕" w:cs="Arial"/>
          <w:b/>
          <w:bCs/>
          <w:szCs w:val="22"/>
        </w:rPr>
      </w:pPr>
      <w:r>
        <w:rPr>
          <w:rFonts w:ascii="맑은 고딕" w:eastAsia="맑은 고딕" w:hAnsi="맑은 고딕" w:cs="Arial" w:hint="eastAsia"/>
          <w:b/>
          <w:bCs/>
          <w:szCs w:val="22"/>
        </w:rPr>
        <w:t>인건비(월) - (1MM에 대한 단가 기술)</w:t>
      </w:r>
    </w:p>
    <w:p>
      <w:pPr>
        <w:adjustRightInd/>
        <w:pStyle w:val="aa"/>
        <w:ind w:leftChars="0"/>
        <w:numPr>
          <w:ilvl w:val="1"/>
          <w:numId w:val="2"/>
        </w:numPr>
        <w:spacing w:line="500" w:lineRule="exact"/>
        <w:rPr>
          <w:rFonts w:ascii="맑은 고딕" w:eastAsia="맑은 고딕" w:hAnsi="맑은 고딕" w:cs="Arial"/>
          <w:b/>
          <w:bCs/>
          <w:szCs w:val="22"/>
        </w:rPr>
      </w:pPr>
      <w:r>
        <w:rPr>
          <w:rFonts w:ascii="맑은 고딕" w:eastAsia="맑은 고딕" w:hAnsi="맑은 고딕" w:cs="Arial" w:hint="eastAsia"/>
          <w:b/>
          <w:bCs/>
          <w:szCs w:val="22"/>
        </w:rPr>
        <w:t>특급기술자: \ (1 M/M)</w:t>
      </w:r>
    </w:p>
    <w:p>
      <w:pPr>
        <w:adjustRightInd/>
        <w:pStyle w:val="aa"/>
        <w:ind w:leftChars="0"/>
        <w:numPr>
          <w:ilvl w:val="1"/>
          <w:numId w:val="2"/>
        </w:numPr>
        <w:spacing w:line="500" w:lineRule="exact"/>
        <w:rPr>
          <w:rFonts w:ascii="맑은 고딕" w:eastAsia="맑은 고딕" w:hAnsi="맑은 고딕" w:cs="Arial"/>
          <w:b/>
          <w:bCs/>
          <w:szCs w:val="22"/>
        </w:rPr>
      </w:pPr>
      <w:r>
        <w:rPr>
          <w:rFonts w:ascii="맑은 고딕" w:eastAsia="맑은 고딕" w:hAnsi="맑은 고딕" w:cs="Arial" w:hint="eastAsia"/>
          <w:b/>
          <w:bCs/>
          <w:szCs w:val="22"/>
        </w:rPr>
        <w:t>중급기술자: \ (1 M/M)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7. </w:t>
      </w:r>
      <w:r>
        <w:rPr>
          <w:rFonts w:ascii="맑은 고딕" w:eastAsia="맑은 고딕" w:hAnsi="맑은 고딕" w:cs="Arial"/>
          <w:b/>
          <w:bCs/>
          <w:sz w:val="22"/>
          <w:szCs w:val="22"/>
        </w:rPr>
        <w:t>보고 및 협의</w:t>
      </w:r>
    </w:p>
    <w:p>
      <w:pPr>
        <w:adjustRightInd/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 w:hint="eastAsia"/>
          <w:szCs w:val="20"/>
        </w:rPr>
        <w:t xml:space="preserve">공급자는 계약 체결 시점부터, 종료시점까지 매주 (주1회) 과제의 진행현황을 </w:t>
      </w:r>
      <w:r>
        <w:rPr>
          <w:rFonts w:ascii="맑은 고딕" w:eastAsia="맑은 고딕" w:hAnsi="맑은 고딕" w:cs="Arial" w:hint="eastAsia"/>
          <w:szCs w:val="20"/>
        </w:rPr>
        <w:t>발주처</w:t>
      </w:r>
      <w:r>
        <w:rPr>
          <w:rFonts w:ascii="맑은 고딕" w:eastAsia="맑은 고딕" w:hAnsi="맑은 고딕" w:cs="Arial" w:hint="eastAsia"/>
          <w:szCs w:val="20"/>
        </w:rPr>
        <w:t xml:space="preserve">에 보고해야 </w:t>
      </w:r>
      <w:r>
        <w:rPr>
          <w:rFonts w:ascii="맑은 고딕" w:eastAsia="맑은 고딕" w:hAnsi="맑은 고딕" w:cs="Arial" w:hint="eastAsia"/>
          <w:szCs w:val="20"/>
        </w:rPr>
        <w:t>한다</w:t>
      </w:r>
      <w:r>
        <w:rPr>
          <w:rFonts w:ascii="맑은 고딕" w:eastAsia="맑은 고딕" w:hAnsi="맑은 고딕" w:cs="Arial" w:hint="eastAsia"/>
          <w:szCs w:val="20"/>
        </w:rPr>
        <w:t xml:space="preserve">. </w:t>
      </w:r>
      <w:r>
        <w:rPr>
          <w:rFonts w:ascii="맑은 고딕" w:eastAsia="맑은 고딕" w:hAnsi="맑은 고딕" w:cs="Arial" w:hint="eastAsia"/>
          <w:szCs w:val="20"/>
        </w:rPr>
        <w:t>발주처</w:t>
      </w:r>
      <w:r>
        <w:rPr>
          <w:rFonts w:ascii="맑은 고딕" w:eastAsia="맑은 고딕" w:hAnsi="맑은 고딕" w:cs="Arial" w:hint="eastAsia"/>
          <w:szCs w:val="20"/>
        </w:rPr>
        <w:t xml:space="preserve"> 담당자와 협의를 통해 보고주기를 변경할 수 있</w:t>
      </w:r>
      <w:r>
        <w:rPr>
          <w:rFonts w:ascii="맑은 고딕" w:eastAsia="맑은 고딕" w:hAnsi="맑은 고딕" w:cs="Arial" w:hint="eastAsia"/>
          <w:szCs w:val="20"/>
        </w:rPr>
        <w:t>다</w:t>
      </w:r>
      <w:r>
        <w:rPr>
          <w:rFonts w:ascii="맑은 고딕" w:eastAsia="맑은 고딕" w:hAnsi="맑은 고딕" w:cs="Arial" w:hint="eastAsia"/>
          <w:szCs w:val="20"/>
        </w:rPr>
        <w:t>.</w:t>
      </w:r>
    </w:p>
    <w:p>
      <w:pPr>
        <w:autoSpaceDE/>
        <w:autoSpaceDN/>
        <w:widowControl/>
        <w:wordWrap/>
        <w:jc w:val="lef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utoSpaceDE/>
        <w:autoSpaceDN/>
        <w:widowControl/>
        <w:wordWrap/>
        <w:jc w:val="lef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8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. 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공급자 제공 자료</w:t>
      </w:r>
    </w:p>
    <w:p>
      <w:pPr>
        <w:adjustRightInd/>
        <w:spacing w:line="500" w:lineRule="exact"/>
        <w:rPr>
          <w:rFonts w:ascii="맑은 고딕" w:eastAsia="맑은 고딕" w:hAnsi="맑은 고딕" w:cs="Arial"/>
          <w:szCs w:val="22"/>
        </w:rPr>
      </w:pPr>
      <w:r>
        <w:rPr>
          <w:rFonts w:ascii="맑은 고딕" w:eastAsia="맑은 고딕" w:hAnsi="맑은 고딕" w:cs="Arial" w:hint="eastAsia"/>
          <w:szCs w:val="22"/>
        </w:rPr>
        <w:t xml:space="preserve">공급자는 아래의 Item을 발주처에 제공해야 </w:t>
      </w:r>
      <w:r>
        <w:rPr>
          <w:rFonts w:ascii="맑은 고딕" w:eastAsia="맑은 고딕" w:hAnsi="맑은 고딕" w:cs="Arial" w:hint="eastAsia"/>
          <w:szCs w:val="22"/>
        </w:rPr>
        <w:t>한다</w:t>
      </w:r>
      <w:r>
        <w:rPr>
          <w:rFonts w:ascii="맑은 고딕" w:eastAsia="맑은 고딕" w:hAnsi="맑은 고딕" w:cs="Arial" w:hint="eastAsia"/>
          <w:szCs w:val="22"/>
        </w:rPr>
        <w:t xml:space="preserve">. 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color w:val="000000"/>
          <w:szCs w:val="22"/>
          <w:u w:val="single" w:color="auto"/>
        </w:rPr>
      </w:pPr>
      <w:r>
        <w:rPr>
          <w:rFonts w:ascii="맑은 고딕" w:eastAsia="맑은 고딕" w:hAnsi="맑은 고딕" w:cs="Arial" w:hint="eastAsia"/>
          <w:b/>
          <w:bCs/>
          <w:color w:val="000000"/>
          <w:szCs w:val="22"/>
          <w:u w:val="single" w:color="auto"/>
        </w:rPr>
        <w:t>#</w:t>
      </w:r>
      <w:r>
        <w:rPr>
          <w:rFonts w:ascii="맑은 고딕" w:eastAsia="맑은 고딕" w:hAnsi="맑은 고딕" w:cs="Arial"/>
          <w:b/>
          <w:bCs/>
          <w:color w:val="000000"/>
          <w:szCs w:val="22"/>
          <w:u w:val="single" w:color="auto"/>
        </w:rPr>
        <w:t>)</w:t>
      </w:r>
      <w:r>
        <w:rPr>
          <w:rFonts w:ascii="맑은 고딕" w:eastAsia="맑은 고딕" w:hAnsi="맑은 고딕" w:cs="Arial" w:hint="eastAsia"/>
          <w:b/>
          <w:bCs/>
          <w:color w:val="000000"/>
          <w:szCs w:val="22"/>
          <w:u w:val="single" w:color="auto"/>
        </w:rPr>
        <w:t xml:space="preserve">텔레칩스에서 테스트 시나리오 및 평가항목 제공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1"/>
        <w:gridCol w:w="4909"/>
      </w:tblGrid>
      <w:tr>
        <w:trPr>
          <w:trHeight w:val="413" w:hRule="atLeast"/>
        </w:trPr>
        <w:tc>
          <w:tcPr>
            <w:tcW w:w="4151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Category</w:t>
            </w:r>
          </w:p>
        </w:tc>
        <w:tc>
          <w:tcPr>
            <w:tcW w:w="4909" w:type="dxa"/>
            <w:shd w:val="clear" w:color="auto" w:fill="A6A6A6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Items</w:t>
            </w:r>
          </w:p>
        </w:tc>
      </w:tr>
      <w:tr>
        <w:tc>
          <w:tcPr>
            <w:tcW w:w="4151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Basic</w:t>
            </w:r>
          </w:p>
        </w:tc>
        <w:tc>
          <w:tcPr>
            <w:tcW w:w="4909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 w:hint="eastAsia"/>
                <w:color w:val="000000"/>
              </w:rPr>
              <w:t>D</w:t>
            </w:r>
            <w:r>
              <w:rPr>
                <w:rFonts w:ascii="맑은 고딕" w:eastAsia="맑은 고딕" w:hAnsi="맑은 고딕"/>
                <w:color w:val="000000"/>
              </w:rPr>
              <w:t>5-CM Module</w:t>
            </w:r>
            <w:r>
              <w:rPr>
                <w:rFonts w:ascii="맑은 고딕" w:eastAsia="맑은 고딕" w:hAnsi="맑은 고딕" w:hint="eastAsia"/>
                <w:color w:val="000000"/>
              </w:rPr>
              <w:t>에 대한 이슈 분석 자료</w:t>
            </w:r>
          </w:p>
          <w:p>
            <w:pPr>
              <w:jc w:val="left"/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 w:hint="eastAsia"/>
                <w:color w:val="000000"/>
              </w:rPr>
              <w:t>이슈를 수정한 D</w:t>
            </w:r>
            <w:r>
              <w:rPr>
                <w:rFonts w:ascii="맑은 고딕" w:eastAsia="맑은 고딕" w:hAnsi="맑은 고딕"/>
                <w:color w:val="000000"/>
              </w:rPr>
              <w:t>5-CM Module</w:t>
            </w:r>
            <w:r>
              <w:rPr>
                <w:rFonts w:ascii="맑은 고딕" w:eastAsia="맑은 고딕" w:hAnsi="맑은 고딕" w:hint="eastAsia"/>
                <w:color w:val="000000"/>
              </w:rPr>
              <w:t>에 대한 설계 자료</w:t>
            </w:r>
          </w:p>
        </w:tc>
      </w:tr>
      <w:tr>
        <w:trPr>
          <w:trHeight w:val="1497" w:hRule="atLeast"/>
        </w:trPr>
        <w:tc>
          <w:tcPr>
            <w:tcW w:w="4151" w:type="dxa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highlight w:val="yellow"/>
              </w:rPr>
            </w:pPr>
            <w:r>
              <w:rPr>
                <w:rFonts w:ascii="맑은 고딕" w:eastAsia="맑은 고딕" w:hAnsi="맑은 고딕" w:hint="eastAsia"/>
                <w:b/>
              </w:rPr>
              <w:t>Documents</w:t>
            </w:r>
          </w:p>
        </w:tc>
        <w:tc>
          <w:tcPr>
            <w:tcW w:w="4909" w:type="dxa"/>
            <w:vAlign w:val="center"/>
          </w:tcPr>
          <w:p>
            <w:pPr>
              <w:jc w:val="left"/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/>
                <w:color w:val="000000"/>
              </w:rPr>
              <w:t xml:space="preserve">D5-CM </w:t>
            </w:r>
            <w:r>
              <w:rPr>
                <w:rFonts w:ascii="맑은 고딕" w:eastAsia="맑은 고딕" w:hAnsi="맑은 고딕" w:hint="eastAsia"/>
                <w:color w:val="000000"/>
              </w:rPr>
              <w:t>P</w:t>
            </w:r>
            <w:r>
              <w:rPr>
                <w:rFonts w:ascii="맑은 고딕" w:eastAsia="맑은 고딕" w:hAnsi="맑은 고딕"/>
                <w:color w:val="000000"/>
              </w:rPr>
              <w:t xml:space="preserve">inout </w:t>
            </w:r>
          </w:p>
          <w:p>
            <w:pPr>
              <w:jc w:val="left"/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/>
                <w:color w:val="000000"/>
              </w:rPr>
              <w:t>D5-CM SDCL</w:t>
            </w:r>
          </w:p>
          <w:p>
            <w:pPr>
              <w:jc w:val="left"/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/>
                <w:color w:val="000000"/>
              </w:rPr>
              <w:t>D5-CM PTCL</w:t>
            </w:r>
          </w:p>
          <w:p>
            <w:pPr>
              <w:jc w:val="left"/>
              <w:rPr>
                <w:rFonts w:ascii="맑은 고딕" w:eastAsia="맑은 고딕" w:hAnsi="맑은 고딕"/>
                <w:color w:val="000000"/>
              </w:rPr>
            </w:pPr>
            <w:r>
              <w:rPr>
                <w:rFonts w:ascii="맑은 고딕" w:eastAsia="맑은 고딕" w:hAnsi="맑은 고딕"/>
                <w:color w:val="000000"/>
              </w:rPr>
              <w:t>D5-CM BOM</w:t>
            </w:r>
          </w:p>
        </w:tc>
      </w:tr>
    </w:tbl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utoSpaceDE/>
        <w:autoSpaceDN/>
        <w:widowControl/>
        <w:wordWrap/>
        <w:jc w:val="lef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/>
          <w:b/>
          <w:bCs/>
          <w:sz w:val="22"/>
          <w:szCs w:val="22"/>
        </w:rPr>
        <w:br w:type="page"/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9. 인수확인</w:t>
      </w:r>
    </w:p>
    <w:p>
      <w:pPr>
        <w:adjustRightInd/>
        <w:spacing w:line="500" w:lineRule="exact"/>
        <w:rPr>
          <w:rFonts w:ascii="맑은 고딕" w:eastAsia="맑은 고딕" w:hAnsi="맑은 고딕" w:cs="Arial"/>
          <w:szCs w:val="22"/>
        </w:rPr>
      </w:pPr>
      <w:r>
        <w:rPr>
          <w:rFonts w:ascii="맑은 고딕" w:eastAsia="맑은 고딕" w:hAnsi="맑은 고딕" w:cs="Arial" w:hint="eastAsia"/>
          <w:szCs w:val="22"/>
        </w:rPr>
        <w:t>공급자가 발주처에게 중간/최종산출물 전달 후, 발주처는 본 계약에 정의된 요구사항이 해당산출물에 적용되었는지 평가를 진행</w:t>
      </w:r>
      <w:r>
        <w:rPr>
          <w:rFonts w:ascii="맑은 고딕" w:eastAsia="맑은 고딕" w:hAnsi="맑은 고딕" w:cs="Arial" w:hint="eastAsia"/>
          <w:szCs w:val="22"/>
        </w:rPr>
        <w:t>한다</w:t>
      </w:r>
      <w:r>
        <w:rPr>
          <w:rFonts w:ascii="맑은 고딕" w:eastAsia="맑은 고딕" w:hAnsi="맑은 고딕" w:cs="Arial" w:hint="eastAsia"/>
          <w:szCs w:val="22"/>
        </w:rPr>
        <w:t xml:space="preserve">. </w:t>
      </w:r>
      <w:r>
        <w:rPr>
          <w:rFonts w:ascii="맑은 고딕" w:eastAsia="맑은 고딕" w:hAnsi="맑은 고딕" w:cs="Arial" w:hint="eastAsia"/>
          <w:szCs w:val="22"/>
        </w:rPr>
        <w:t>공급자는 발주처가 인수테스트를 진행하는데 필요한 지원(Sample, SW툴, Testing툴 등)을 제공해야 한다</w:t>
      </w:r>
      <w:r>
        <w:rPr>
          <w:rFonts w:ascii="맑은 고딕" w:eastAsia="맑은 고딕" w:hAnsi="맑은 고딕" w:cs="Arial" w:hint="eastAsia"/>
          <w:szCs w:val="22"/>
        </w:rPr>
        <w:t>.</w:t>
      </w:r>
      <w:r>
        <w:rPr>
          <w:rFonts w:ascii="맑은 고딕" w:eastAsia="맑은 고딕" w:hAnsi="맑은 고딕" w:cs="Arial" w:hint="eastAsia"/>
          <w:szCs w:val="22"/>
        </w:rPr>
        <w:t xml:space="preserve"> 산출물이 요구사항을 만족하지 못할 경우, 발주처는 산출물의 인수를 거부할 수 있</w:t>
      </w:r>
      <w:r>
        <w:rPr>
          <w:rFonts w:ascii="맑은 고딕" w:eastAsia="맑은 고딕" w:hAnsi="맑은 고딕" w:cs="Arial" w:hint="eastAsia"/>
          <w:szCs w:val="22"/>
        </w:rPr>
        <w:t>으며,</w:t>
      </w:r>
      <w:r>
        <w:rPr>
          <w:rFonts w:ascii="맑은 고딕" w:eastAsia="맑은 고딕" w:hAnsi="맑은 고딕" w:cs="Arial" w:hint="eastAsia"/>
          <w:szCs w:val="22"/>
        </w:rPr>
        <w:t xml:space="preserve"> 공급자는 발주처로부터 산출물의 인수가 거부된 경우, 지체 없이 인수거부의 원인을 확인하고 이에 대해 해결한 후 다시 산출물을 제출하도록 </w:t>
      </w:r>
      <w:r>
        <w:rPr>
          <w:rFonts w:ascii="맑은 고딕" w:eastAsia="맑은 고딕" w:hAnsi="맑은 고딕" w:cs="Arial" w:hint="eastAsia"/>
          <w:szCs w:val="22"/>
        </w:rPr>
        <w:t>한다</w:t>
      </w:r>
      <w:r>
        <w:rPr>
          <w:rFonts w:ascii="맑은 고딕" w:eastAsia="맑은 고딕" w:hAnsi="맑은 고딕" w:cs="Arial" w:hint="eastAsia"/>
          <w:szCs w:val="22"/>
        </w:rPr>
        <w:t xml:space="preserve">. 단, 산출물을 다시 제출하는데 시간이 소요되는 경우, 어느 정도의 시간이 소요되는지를 먼저 발주처에 통보해야 </w:t>
      </w:r>
      <w:r>
        <w:rPr>
          <w:rFonts w:ascii="맑은 고딕" w:eastAsia="맑은 고딕" w:hAnsi="맑은 고딕" w:cs="Arial" w:hint="eastAsia"/>
          <w:szCs w:val="22"/>
        </w:rPr>
        <w:t>한다</w:t>
      </w:r>
      <w:r>
        <w:rPr>
          <w:rFonts w:ascii="맑은 고딕" w:eastAsia="맑은 고딕" w:hAnsi="맑은 고딕" w:cs="Arial" w:hint="eastAsia"/>
          <w:szCs w:val="22"/>
        </w:rPr>
        <w:t>. 또한 산출물을 다시 제출하는데 발생하는 추가비용은 발주처에게 청구할 수 없음을 동의</w:t>
      </w:r>
      <w:r>
        <w:rPr>
          <w:rFonts w:ascii="맑은 고딕" w:eastAsia="맑은 고딕" w:hAnsi="맑은 고딕" w:cs="Arial" w:hint="eastAsia"/>
          <w:szCs w:val="22"/>
        </w:rPr>
        <w:t>한다</w:t>
      </w:r>
      <w:r>
        <w:rPr>
          <w:rFonts w:ascii="맑은 고딕" w:eastAsia="맑은 고딕" w:hAnsi="맑은 고딕" w:cs="Arial" w:hint="eastAsia"/>
          <w:szCs w:val="22"/>
        </w:rPr>
        <w:t xml:space="preserve">. 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10. 공급자의 역할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Cs w:val="22"/>
        </w:rPr>
      </w:pPr>
      <w:r>
        <w:rPr>
          <w:rFonts w:ascii="맑은 고딕" w:eastAsia="맑은 고딕" w:hAnsi="맑은 고딕" w:cs="Arial" w:hint="eastAsia"/>
          <w:szCs w:val="22"/>
        </w:rPr>
        <w:t>공급자는 용역과제 진행에 따른 산출물 제출 시, 발주처와 인수테스트를 반드시 진행해야 한다</w:t>
      </w:r>
      <w:r>
        <w:rPr>
          <w:rFonts w:ascii="맑은 고딕" w:eastAsia="맑은 고딕" w:hAnsi="맑은 고딕" w:cs="Arial" w:hint="eastAsia"/>
          <w:b/>
          <w:bCs/>
          <w:szCs w:val="22"/>
        </w:rPr>
        <w:t xml:space="preserve">. 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11. 발주처의 역할</w:t>
      </w:r>
    </w:p>
    <w:p>
      <w:pPr>
        <w:adjustRightInd/>
        <w:spacing w:line="500" w:lineRule="exact"/>
        <w:rPr>
          <w:rFonts w:ascii="맑은 고딕" w:eastAsia="맑은 고딕" w:hAnsi="맑은 고딕" w:cs="Arial"/>
          <w:i/>
          <w:color w:val="0070C0"/>
          <w:szCs w:val="22"/>
        </w:rPr>
      </w:pPr>
      <w:r>
        <w:rPr>
          <w:rFonts w:ascii="맑은 고딕" w:eastAsia="맑은 고딕" w:hAnsi="맑은 고딕" w:cs="Arial" w:hint="eastAsia"/>
          <w:szCs w:val="22"/>
        </w:rPr>
        <w:t>텔레칩스는</w:t>
      </w:r>
      <w:r>
        <w:rPr>
          <w:rFonts w:ascii="맑은 고딕" w:eastAsia="맑은 고딕" w:hAnsi="맑은 고딕" w:cs="Arial" w:hint="eastAsia"/>
          <w:szCs w:val="22"/>
        </w:rPr>
        <w:t xml:space="preserve"> 용역과제 진행에 따라 공급자로부터 산출물이 접수되는 경우, 산출물의 품질 확보를 위해 인수테스트를 진행해야 한다.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12. </w:t>
      </w:r>
      <w:r>
        <w:rPr>
          <w:rFonts w:ascii="맑은 고딕" w:eastAsia="맑은 고딕" w:hAnsi="맑은 고딕" w:cs="Arial"/>
          <w:b/>
          <w:bCs/>
          <w:sz w:val="22"/>
          <w:szCs w:val="22"/>
        </w:rPr>
        <w:t>보안 및 비밀유지 의무</w:t>
      </w:r>
    </w:p>
    <w:p>
      <w:pPr>
        <w:adjustRightInd/>
        <w:numPr>
          <w:ilvl w:val="0"/>
          <w:numId w:val="3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공급자는 본 과업 수행과 관련하여 취득한 모든 정보(문서, 데이터, 회의 내용 등)를 "발주처"(이하 발주처)의 사전 서면 승인 없이 제3자에게 누설하거나 다른 목적으로 사용할 수 없다.</w:t>
      </w:r>
    </w:p>
    <w:p>
      <w:pPr>
        <w:adjustRightInd/>
        <w:numPr>
          <w:ilvl w:val="0"/>
          <w:numId w:val="3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 xml:space="preserve">공급자는 </w:t>
      </w:r>
      <w:r>
        <w:rPr>
          <w:rFonts w:ascii="맑은 고딕" w:eastAsia="맑은 고딕" w:hAnsi="맑은 고딕" w:cs="Arial"/>
          <w:szCs w:val="20"/>
        </w:rPr>
        <w:t>착수계</w:t>
      </w:r>
      <w:r>
        <w:rPr>
          <w:rFonts w:ascii="맑은 고딕" w:eastAsia="맑은 고딕" w:hAnsi="맑은 고딕" w:cs="Arial"/>
          <w:szCs w:val="20"/>
        </w:rPr>
        <w:t xml:space="preserve"> 제출 시, 과업 참여 인력 전원에 대한 보안각서를 제출해야 하며, 인력 변경 시에도 동일하게 적용한다.</w:t>
      </w:r>
    </w:p>
    <w:p>
      <w:pPr>
        <w:adjustRightInd/>
        <w:numPr>
          <w:ilvl w:val="0"/>
          <w:numId w:val="3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 xml:space="preserve">과업 수행 중 생성된 모든 자료 및 성과품은 발주처의 보안 규정에 따라 관리되어야 하며, 불량하거나 파기된 자료는 완전히 소각 또는 </w:t>
      </w:r>
      <w:r>
        <w:rPr>
          <w:rFonts w:ascii="맑은 고딕" w:eastAsia="맑은 고딕" w:hAnsi="맑은 고딕" w:cs="Arial"/>
          <w:szCs w:val="20"/>
        </w:rPr>
        <w:t>파쇄하여야</w:t>
      </w:r>
      <w:r>
        <w:rPr>
          <w:rFonts w:ascii="맑은 고딕" w:eastAsia="맑은 고딕" w:hAnsi="맑은 고딕" w:cs="Arial"/>
          <w:szCs w:val="20"/>
        </w:rPr>
        <w:t xml:space="preserve"> 한다.</w:t>
      </w:r>
    </w:p>
    <w:p>
      <w:pPr>
        <w:adjustRightInd/>
        <w:numPr>
          <w:ilvl w:val="0"/>
          <w:numId w:val="3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본 조항을 위반하여 발주처에 손해를 끼친 경우, 공급자는 민·형사상의 모든 책임을 지며, 부정당업자 제재 등의 불이익을 감수한다</w:t>
      </w:r>
      <w:r>
        <w:rPr>
          <w:rFonts w:ascii="맑은 고딕" w:eastAsia="맑은 고딕" w:hAnsi="맑은 고딕" w:cs="Arial"/>
          <w:b/>
          <w:bCs/>
          <w:sz w:val="22"/>
          <w:szCs w:val="22"/>
        </w:rPr>
        <w:t>.</w:t>
      </w:r>
    </w:p>
    <w:p>
      <w:pPr>
        <w:adjustRightInd/>
        <w:spacing w:line="500" w:lineRule="exact"/>
        <w:rPr>
          <w:lang w:eastAsia="ko-KR"/>
          <w:rFonts w:ascii="맑은 고딕" w:eastAsia="맑은 고딕" w:hAnsi="맑은 고딕" w:cs="Arial" w:hint="eastAsia"/>
          <w:b/>
          <w:bCs/>
          <w:sz w:val="22"/>
          <w:szCs w:val="22"/>
          <w:rtl w:val="off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 xml:space="preserve">13. </w:t>
      </w:r>
      <w:r>
        <w:rPr>
          <w:rFonts w:ascii="맑은 고딕" w:eastAsia="맑은 고딕" w:hAnsi="맑은 고딕" w:cs="Arial"/>
          <w:b/>
          <w:bCs/>
          <w:sz w:val="22"/>
          <w:szCs w:val="22"/>
        </w:rPr>
        <w:t>지식재산권 및 성과물의 소유</w:t>
      </w:r>
    </w:p>
    <w:p>
      <w:pPr>
        <w:adjustRightInd/>
        <w:numPr>
          <w:ilvl w:val="0"/>
          <w:numId w:val="4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본 과업 수행으로 인하여 발생한 결과물(보고서, 영상, 데이터, 소스코드 등 일체)에 대한 지식재산권 및 소유권은 발주처</w:t>
      </w:r>
      <w:r>
        <w:rPr>
          <w:rFonts w:ascii="맑은 고딕" w:eastAsia="맑은 고딕" w:hAnsi="맑은 고딕" w:cs="Arial" w:hint="eastAsia"/>
          <w:szCs w:val="20"/>
        </w:rPr>
        <w:t>가</w:t>
      </w:r>
      <w:r>
        <w:rPr>
          <w:rFonts w:ascii="맑은 고딕" w:eastAsia="맑은 고딕" w:hAnsi="맑은 고딕" w:cs="Arial"/>
          <w:szCs w:val="20"/>
        </w:rPr>
        <w:t xml:space="preserve"> 소유함을 원칙으로 한다. </w:t>
      </w:r>
    </w:p>
    <w:p>
      <w:pPr>
        <w:adjustRightInd/>
        <w:numPr>
          <w:ilvl w:val="0"/>
          <w:numId w:val="4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단, 본 과업 수행 이전부터 공급자가 보유하고 있던 기술이나 지식재산권은 공급자의 소유로 한다.</w:t>
      </w:r>
    </w:p>
    <w:p>
      <w:pPr>
        <w:adjustRightInd/>
        <w:numPr>
          <w:ilvl w:val="0"/>
          <w:numId w:val="4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공급자는 본 과업의 결과물이 제3자의 저작권, 초상권, 특허권 등을 침해하지 않도록 해야 하며, 이와 관련하여 분쟁이 발생할 경우 모든 법적 책임은 공급자가 진다.</w:t>
      </w: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</w:p>
    <w:p>
      <w:pPr>
        <w:adjustRightInd/>
        <w:spacing w:line="500" w:lineRule="exact"/>
        <w:rPr>
          <w:rFonts w:ascii="맑은 고딕" w:eastAsia="맑은 고딕" w:hAnsi="맑은 고딕" w:cs="Arial"/>
          <w:b/>
          <w:bCs/>
          <w:sz w:val="22"/>
          <w:szCs w:val="22"/>
        </w:rPr>
      </w:pPr>
      <w:r>
        <w:rPr>
          <w:rFonts w:ascii="맑은 고딕" w:eastAsia="맑은 고딕" w:hAnsi="맑은 고딕" w:cs="Arial"/>
          <w:b/>
          <w:bCs/>
          <w:sz w:val="22"/>
          <w:szCs w:val="22"/>
        </w:rPr>
        <w:t>1</w:t>
      </w:r>
      <w:r>
        <w:rPr>
          <w:rFonts w:ascii="맑은 고딕" w:eastAsia="맑은 고딕" w:hAnsi="맑은 고딕" w:cs="Arial" w:hint="eastAsia"/>
          <w:b/>
          <w:bCs/>
          <w:sz w:val="22"/>
          <w:szCs w:val="22"/>
        </w:rPr>
        <w:t>4</w:t>
      </w:r>
      <w:r>
        <w:rPr>
          <w:rFonts w:ascii="맑은 고딕" w:eastAsia="맑은 고딕" w:hAnsi="맑은 고딕" w:cs="Arial"/>
          <w:b/>
          <w:bCs/>
          <w:sz w:val="22"/>
          <w:szCs w:val="22"/>
        </w:rPr>
        <w:t>. 지체상금 및 계약의 해지</w:t>
      </w:r>
    </w:p>
    <w:p>
      <w:pPr>
        <w:adjustRightInd/>
        <w:numPr>
          <w:ilvl w:val="0"/>
          <w:numId w:val="5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지체상금: 공급자가 정당한 사유 없이 계약 기간 내에 과업을 완료하지 못하였을 경우, 국가계약법 및 관련 규정에 따라 지체일수 1일당 계약금액의 1000분의 1.2</w:t>
      </w:r>
      <w:r>
        <w:rPr>
          <w:rFonts w:ascii="맑은 고딕" w:eastAsia="맑은 고딕" w:hAnsi="맑은 고딕" w:cs="Arial" w:hint="eastAsia"/>
          <w:szCs w:val="20"/>
        </w:rPr>
        <w:t>5</w:t>
      </w:r>
      <w:r>
        <w:rPr>
          <w:rFonts w:ascii="맑은 고딕" w:eastAsia="맑은 고딕" w:hAnsi="맑은 고딕" w:cs="Arial"/>
          <w:szCs w:val="20"/>
        </w:rPr>
        <w:t>에 해당하는 지체상금을 납부하거나 대금에서 공제한다.</w:t>
      </w:r>
    </w:p>
    <w:p>
      <w:pPr>
        <w:adjustRightInd/>
        <w:numPr>
          <w:ilvl w:val="0"/>
          <w:numId w:val="5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계약의 해지: 발주처는 다음 각 호에 해당하는 경우 계약을 해지할 수 있다.</w:t>
      </w:r>
    </w:p>
    <w:p>
      <w:pPr>
        <w:adjustRightInd/>
        <w:numPr>
          <w:ilvl w:val="1"/>
          <w:numId w:val="5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공급자의 귀책 사유로 인하여 과업 기간 내에 과업을 완료할 가능성이 명백히 없다고 인정될 경우</w:t>
      </w:r>
    </w:p>
    <w:p>
      <w:pPr>
        <w:adjustRightInd/>
        <w:numPr>
          <w:ilvl w:val="1"/>
          <w:numId w:val="5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공급자가 정당한 사유 없이 발주처의 지시를 이행하지 않거나, 계약 조건을 중대하게 위반한 경우</w:t>
      </w:r>
    </w:p>
    <w:p>
      <w:pPr>
        <w:adjustRightInd/>
        <w:numPr>
          <w:ilvl w:val="1"/>
          <w:numId w:val="5"/>
        </w:numPr>
        <w:spacing w:line="500" w:lineRule="exact"/>
        <w:rPr>
          <w:rFonts w:ascii="맑은 고딕" w:eastAsia="맑은 고딕" w:hAnsi="맑은 고딕" w:cs="Arial"/>
          <w:szCs w:val="20"/>
        </w:rPr>
      </w:pPr>
      <w:r>
        <w:rPr>
          <w:rFonts w:ascii="맑은 고딕" w:eastAsia="맑은 고딕" w:hAnsi="맑은 고딕" w:cs="Arial"/>
          <w:szCs w:val="20"/>
        </w:rPr>
        <w:t>기타 과업 수행이 불가능하다고 인정되는 객관적인 사유가 발생한 경우</w:t>
      </w:r>
    </w:p>
    <w:p>
      <w:pPr>
        <w:autoSpaceDE/>
        <w:autoSpaceDN/>
        <w:widowControl/>
        <w:wordWrap/>
        <w:jc w:val="left"/>
        <w:rPr>
          <w:rFonts w:ascii="맑은 고딕" w:eastAsia="맑은 고딕" w:hAnsi="맑은 고딕" w:cs="Arial"/>
          <w:b/>
          <w:bCs/>
          <w:sz w:val="22"/>
          <w:szCs w:val="22"/>
        </w:rPr>
      </w:pPr>
    </w:p>
    <w:sectPr>
      <w:pgSz w:w="11906" w:h="16838"/>
      <w:pgMar w:top="1134" w:right="1418" w:bottom="851" w:left="1418" w:header="851" w:footer="992" w:gutter="0"/>
      <w:cols/>
      <w:docGrid w:linePitch="360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3fb96a57"/>
    <w:multiLevelType w:val="hybridMultilevel"/>
    <w:tmpl w:val="bd6ec844"/>
    <w:lvl w:ilvl="0" w:tplc="64404608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47a1b15"/>
    <w:multiLevelType w:val="hybridMultilevel"/>
    <w:tmpl w:val="380a4d88"/>
    <w:lvl w:ilvl="0" w:tplc="64404608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2932ae5e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25c6dfe"/>
    <w:multiLevelType w:val="multilevel"/>
    <w:tmpl w:val="fff048d4"/>
    <w:lvl w:ilvl="0">
      <w:start w:val="1"/>
      <w:lvlText w:val="%1."/>
      <w:lvlJc w:val="left"/>
      <w:pPr>
        <w:ind w:left="720" w:hanging="360"/>
        <w:tabs>
          <w:tab w:val="num" w:pos="720"/>
        </w:tabs>
      </w:pPr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abstractNum w:abstractNumId="3">
    <w:nsid w:val="13641f23"/>
    <w:multiLevelType w:val="multilevel"/>
    <w:tmpl w:val="968adaf6"/>
    <w:lvl w:ilvl="0">
      <w:start w:val="1"/>
      <w:lvlText w:val="%1."/>
      <w:lvlJc w:val="left"/>
      <w:pPr>
        <w:ind w:left="720" w:hanging="360"/>
        <w:tabs>
          <w:tab w:val="num" w:pos="720"/>
        </w:tabs>
      </w:pPr>
    </w:lvl>
    <w:lvl w:ilvl="1" w:tentative="on">
      <w:start w:val="1"/>
      <w:lvlText w:val="%2."/>
      <w:lvlJc w:val="left"/>
      <w:pPr>
        <w:ind w:left="1440" w:hanging="360"/>
        <w:tabs>
          <w:tab w:val="num" w:pos="1440"/>
        </w:tabs>
      </w:pPr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abstractNum w:abstractNumId="4">
    <w:nsid w:val="543c396d"/>
    <w:multiLevelType w:val="multilevel"/>
    <w:tmpl w:val="b6881116"/>
    <w:lvl w:ilvl="0">
      <w:start w:val="1"/>
      <w:lvlText w:val="%1."/>
      <w:lvlJc w:val="left"/>
      <w:pPr>
        <w:ind w:left="720" w:hanging="360"/>
        <w:tabs>
          <w:tab w:val="num" w:pos="720"/>
        </w:tabs>
      </w:pPr>
    </w:lvl>
    <w:lvl w:ilvl="1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lvlText w:val="%3."/>
      <w:lvlJc w:val="left"/>
      <w:pPr>
        <w:ind w:left="2160" w:hanging="360"/>
        <w:tabs>
          <w:tab w:val="num" w:pos="2160"/>
        </w:tabs>
      </w:pPr>
    </w:lvl>
    <w:lvl w:ilvl="3" w:tentative="on">
      <w:start w:val="1"/>
      <w:lvlText w:val="%4."/>
      <w:lvlJc w:val="left"/>
      <w:pPr>
        <w:ind w:left="2880" w:hanging="360"/>
        <w:tabs>
          <w:tab w:val="num" w:pos="2880"/>
        </w:tabs>
      </w:pPr>
    </w:lvl>
    <w:lvl w:ilvl="4" w:tentative="on">
      <w:start w:val="1"/>
      <w:lvlText w:val="%5."/>
      <w:lvlJc w:val="left"/>
      <w:pPr>
        <w:ind w:left="3600" w:hanging="360"/>
        <w:tabs>
          <w:tab w:val="num" w:pos="3600"/>
        </w:tabs>
      </w:pPr>
    </w:lvl>
    <w:lvl w:ilvl="5" w:tentative="on">
      <w:start w:val="1"/>
      <w:lvlText w:val="%6."/>
      <w:lvlJc w:val="left"/>
      <w:pPr>
        <w:ind w:left="4320" w:hanging="360"/>
        <w:tabs>
          <w:tab w:val="num" w:pos="4320"/>
        </w:tabs>
      </w:pPr>
    </w:lvl>
    <w:lvl w:ilvl="6" w:tentative="on">
      <w:start w:val="1"/>
      <w:lvlText w:val="%7."/>
      <w:lvlJc w:val="left"/>
      <w:pPr>
        <w:ind w:left="5040" w:hanging="360"/>
        <w:tabs>
          <w:tab w:val="num" w:pos="5040"/>
        </w:tabs>
      </w:pPr>
    </w:lvl>
    <w:lvl w:ilvl="7" w:tentative="on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 w:tentative="on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137"/>
    <w:lsdException w:name="Table Theme" w:semiHidden="1" w:unhideWhenUsed="1"/>
    <w:lsdException w:name="Placeholder Text" w:semiHidden="1" w:uiPriority="339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 w:uiPriority="33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iPriority="339" w:unhideWhenUsed="1"/>
    <w:lsdException w:name="Smart Hyperlink" w:semiHidden="1" w:uiPriority="339" w:unhideWhenUsed="1"/>
    <w:lsdException w:name="Hashtag" w:semiHidden="1" w:uiPriority="339" w:unhideWhenUsed="1"/>
    <w:lsdException w:name="Unresolved Mention" w:semiHidden="1" w:uiPriority="339" w:unhideWhenUsed="1"/>
    <w:lsdException w:name="Smart Link" w:semiHidden="1" w:uiPriority="339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  <w:rPr>
      <w:rFonts w:ascii="바탕"/>
      <w:szCs w:val="24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5">
    <w:name w:val="font5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돋움" w:eastAsia="돋움" w:hAnsi="돋움" w:hint="eastAsia"/>
      <w:sz w:val="16"/>
      <w:szCs w:val="16"/>
      <w:kern w:val="0"/>
    </w:rPr>
  </w:style>
  <w:style w:type="paragraph" w:customStyle="1" w:styleId="xl22">
    <w:name w:val="xl22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체" w:eastAsia="굴림체" w:hAnsi="굴림체" w:hint="eastAsia"/>
      <w:szCs w:val="20"/>
      <w:kern w:val="0"/>
    </w:rPr>
  </w:style>
  <w:style w:type="paragraph" w:customStyle="1" w:styleId="xl23">
    <w:name w:val="xl23"/>
    <w:basedOn w:val="a"/>
    <w:pPr>
      <w:autoSpaceDE/>
      <w:autoSpaceDN/>
      <w:widowControl/>
      <w:wordWrap/>
      <w:jc w:val="center"/>
      <w:spacing w:after="100" w:afterAutospacing="1" w:before="100" w:beforeAutospacing="1"/>
    </w:pPr>
    <w:rPr>
      <w:rFonts w:ascii="굴림체" w:eastAsia="굴림체" w:hAnsi="굴림체" w:hint="eastAsia"/>
      <w:szCs w:val="20"/>
      <w:kern w:val="0"/>
    </w:rPr>
  </w:style>
  <w:style w:type="paragraph" w:customStyle="1" w:styleId="xl24">
    <w:name w:val="xl24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체" w:eastAsia="굴림체" w:hAnsi="굴림체" w:hint="eastAsia"/>
      <w:b/>
      <w:bCs/>
      <w:szCs w:val="20"/>
      <w:kern w:val="0"/>
    </w:rPr>
  </w:style>
  <w:style w:type="paragraph" w:customStyle="1" w:styleId="xl25">
    <w:name w:val="xl25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체" w:eastAsia="굴림체" w:hAnsi="굴림체" w:hint="eastAsia"/>
      <w:szCs w:val="20"/>
      <w:kern w:val="0"/>
    </w:rPr>
  </w:style>
  <w:style w:type="paragraph" w:customStyle="1" w:styleId="xl26">
    <w:name w:val="xl26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체" w:eastAsia="굴림체" w:hAnsi="굴림체" w:hint="eastAsia"/>
      <w:b/>
      <w:bCs/>
      <w:szCs w:val="20"/>
      <w:kern w:val="0"/>
    </w:rPr>
  </w:style>
  <w:style w:type="paragraph" w:customStyle="1" w:styleId="a3">
    <w:name w:val="Balloon Text"/>
    <w:basedOn w:val="a"/>
    <w:semiHidden/>
    <w:rPr>
      <w:rFonts w:ascii="Arial" w:eastAsia="돋움" w:hAnsi="Arial"/>
      <w:sz w:val="18"/>
      <w:szCs w:val="18"/>
    </w:rPr>
  </w:style>
  <w:style w:type="paragraph" w:customStyle="1" w:styleId="a4">
    <w:name w:val="바탕글"/>
    <w:basedOn w:val="a"/>
    <w:pPr>
      <w:autoSpaceDE/>
      <w:autoSpaceDN/>
      <w:widowControl/>
      <w:wordWrap/>
      <w:snapToGrid w:val="0"/>
      <w:spacing w:line="384" w:lineRule="auto"/>
    </w:pPr>
    <w:rPr>
      <w:rFonts w:hAnsi="바탕" w:cs="굴림"/>
      <w:color w:val="000000"/>
      <w:szCs w:val="20"/>
      <w:kern w:val="0"/>
    </w:rPr>
  </w:style>
  <w:style w:type="paragraph" w:customStyle="1" w:styleId="a5">
    <w:name w:val="footer"/>
    <w:basedOn w:val="a"/>
    <w:pPr>
      <w:snapToGrid w:val="0"/>
      <w:tabs>
        <w:tab w:val="center" w:pos="4252"/>
        <w:tab w:val="right" w:pos="8504"/>
      </w:tabs>
    </w:pPr>
  </w:style>
  <w:style w:type="character" w:customStyle="1" w:styleId="a6">
    <w:name w:val="page number"/>
    <w:basedOn w:val="a0"/>
  </w:style>
  <w:style w:type="paragraph" w:customStyle="1" w:styleId="a7">
    <w:name w:val="header"/>
    <w:basedOn w:val="a"/>
    <w:link w:val="Char"/>
    <w:pPr>
      <w:snapToGrid w:val="0"/>
      <w:tabs>
        <w:tab w:val="center" w:pos="4513"/>
        <w:tab w:val="right" w:pos="9026"/>
      </w:tabs>
    </w:pPr>
    <w:rPr>
      <w:lang/>
    </w:rPr>
  </w:style>
  <w:style w:type="character" w:customStyle="1" w:styleId="Char">
    <w:name w:val="머리글 Char"/>
    <w:link w:val="a7"/>
    <w:rPr>
      <w:rFonts w:ascii="바탕"/>
      <w:szCs w:val="24"/>
      <w:kern w:val="2"/>
    </w:rPr>
  </w:style>
  <w:style w:type="table" w:styleId="a8">
    <w:name w:val="Table Grid"/>
    <w:uiPriority w:val="59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caption"/>
    <w:basedOn w:val="a"/>
    <w:next w:val="a"/>
    <w:qFormat/>
    <w:unhideWhenUsed/>
    <w:rPr>
      <w:b/>
      <w:bCs/>
      <w:szCs w:val="20"/>
    </w:rPr>
  </w:style>
  <w:style w:type="paragraph" w:styleId="aa">
    <w:name w:val="List Paragraph"/>
    <w:uiPriority w:val="34"/>
    <w:basedOn w:val="a"/>
    <w:qFormat/>
    <w:pPr>
      <w:ind w:leftChars="400" w:left="800"/>
    </w:pPr>
  </w:style>
  <w:style w:type="paragraph" w:styleId="ab">
    <w:name w:val="Revision"/>
    <w:uiPriority w:val="99"/>
    <w:hidden/>
    <w:semiHidden/>
    <w:rPr>
      <w:rFonts w:ascii="바탕"/>
      <w:szCs w:val="24"/>
      <w:kern w:val="2"/>
    </w:rPr>
  </w:style>
  <w:style w:type="character" w:customStyle="1" w:styleId="ac">
    <w:name w:val="annotation reference"/>
    <w:basedOn w:val="a0"/>
    <w:rPr>
      <w:sz w:val="18"/>
      <w:szCs w:val="18"/>
    </w:rPr>
  </w:style>
  <w:style w:type="paragraph" w:customStyle="1" w:styleId="ad">
    <w:name w:val="annotation text"/>
    <w:basedOn w:val="a"/>
    <w:link w:val="Char0"/>
    <w:pPr>
      <w:jc w:val="left"/>
    </w:pPr>
  </w:style>
  <w:style w:type="character" w:customStyle="1" w:styleId="Char0">
    <w:name w:val="메모 텍스트 Char"/>
    <w:basedOn w:val="a0"/>
    <w:link w:val="ad"/>
    <w:rPr>
      <w:rFonts w:ascii="바탕"/>
      <w:szCs w:val="24"/>
      <w:kern w:val="2"/>
    </w:rPr>
  </w:style>
  <w:style w:type="paragraph" w:customStyle="1" w:styleId="ae">
    <w:name w:val="annotation subject"/>
    <w:basedOn w:val="ad"/>
    <w:next w:val="ad"/>
    <w:link w:val="Char1"/>
    <w:rPr>
      <w:b/>
      <w:bCs/>
    </w:rPr>
  </w:style>
  <w:style w:type="character" w:customStyle="1" w:styleId="Char1">
    <w:name w:val="메모 주제 Char"/>
    <w:basedOn w:val="Char0"/>
    <w:link w:val="ae"/>
    <w:rPr>
      <w:rFonts w:ascii="바탕"/>
      <w:b/>
      <w:bCs/>
      <w:szCs w:val="24"/>
      <w:kern w:val="2"/>
    </w:rPr>
  </w:style>
  <w:style w:type="paragraph" w:customStyle="1" w:styleId="af">
    <w:name w:val="Normal (Web)"/>
    <w:basedOn w:val="a"/>
    <w:rPr>
      <w:rFonts w:asci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기계공학과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HR-EB-SG-035   Rev</dc:title>
  <dc:subject/>
  <dc:creator>이유엽</dc:creator>
  <cp:keywords/>
  <dc:description/>
  <cp:lastModifiedBy>sk006</cp:lastModifiedBy>
  <cp:revision>1</cp:revision>
  <dcterms:created xsi:type="dcterms:W3CDTF">2026-01-13T09:47:00Z</dcterms:created>
  <dcterms:modified xsi:type="dcterms:W3CDTF">2026-05-21T16:01:27Z</dcterms:modified>
  <cp:lastPrinted>2025-09-16T06:15:00Z</cp:lastPrint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김지영 (Jane Kim)</vt:lpwstr>
  </property>
  <property fmtid="{D5CDD505-2E9C-101B-9397-08002B2CF9AE}" pid="4" name="Order">
    <vt:lpwstr>54000.0000000000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isplay_urn:schemas-microsoft-com:office:office#Author">
    <vt:lpwstr>김지영 (Jane Kim)</vt:lpwstr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ContentTypeId">
    <vt:lpwstr>0x010100E1920FB98BA13248B6AD43753F860742</vt:lpwstr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