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keepNext w:val="off"/>
        <w:jc w:val="center"/>
        <w:spacing w:after="160" w:before="400" w:line="300" w:lineRule="auto"/>
      </w:pPr>
      <w:r>
        <w:rPr>
          <w:rFonts w:ascii="Arial" w:eastAsia="맑은 고딕" w:hAnsi="Arial"/>
          <w:b/>
          <w:i w:val="0"/>
          <w:color w:val="2F5597"/>
          <w:sz w:val="22"/>
        </w:rPr>
        <w:t>인버터 제어형 공기압축기 및 모니터링 시스템</w:t>
      </w:r>
    </w:p>
    <w:p>
      <w:pPr>
        <w:keepNext w:val="off"/>
        <w:jc w:val="center"/>
        <w:spacing w:after="200" w:before="320" w:line="300" w:lineRule="auto"/>
      </w:pPr>
      <w:r>
        <w:rPr>
          <w:rFonts w:ascii="Arial" w:eastAsia="맑은 고딕" w:hAnsi="Arial"/>
          <w:b/>
          <w:i w:val="0"/>
          <w:color w:val="17365D"/>
          <w:sz w:val="52"/>
        </w:rPr>
        <w:t>입 찰 공 고 서</w:t>
      </w:r>
    </w:p>
    <w:p>
      <w:pPr>
        <w:keepNext w:val="off"/>
        <w:jc w:val="center"/>
        <w:spacing w:after="0" w:before="0" w:line="300" w:lineRule="auto"/>
      </w:pPr>
      <w:r>
        <w:rPr>
          <w:rFonts w:ascii="Arial" w:eastAsia="맑은 고딕" w:hAnsi="Arial"/>
          <w:b w:val="0"/>
          <w:i w:val="0"/>
          <w:color w:val="667085"/>
          <w:sz w:val="28"/>
        </w:rPr>
        <w:t>규격·가격 동시입찰 / 총액계약</w:t>
      </w:r>
    </w:p>
    <w:p>
      <w:pPr>
        <w:keepNext w:val="off"/>
        <w:jc w:val="center"/>
        <w:spacing w:after="80" w:before="2100" w:line="300" w:lineRule="auto"/>
      </w:pPr>
      <w:r>
        <w:rPr>
          <w:rFonts w:ascii="Arial" w:eastAsia="맑은 고딕" w:hAnsi="Arial"/>
          <w:b/>
          <w:i w:val="0"/>
          <w:color w:val="1F2937"/>
          <w:sz w:val="24"/>
        </w:rPr>
        <w:t>2026</w:t>
      </w:r>
    </w:p>
    <w:p>
      <w:pPr>
        <w:keepNext w:val="off"/>
        <w:jc w:val="center"/>
        <w:spacing w:after="0" w:before="240" w:line="300" w:lineRule="auto"/>
      </w:pPr>
      <w:r>
        <w:rPr>
          <w:rFonts w:ascii="Arial" w:eastAsia="맑은 고딕" w:hAnsi="Arial"/>
          <w:b/>
          <w:i w:val="0"/>
          <w:color w:val="17365D"/>
          <w:sz w:val="34"/>
        </w:rPr>
        <w:t>한국OSG㈜</w:t>
      </w:r>
    </w:p>
    <w:p>
      <w:r>
        <w:br w:type="page"/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1. 입찰 개요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2381"/>
        <w:gridCol w:w="7370"/>
      </w:tblGrid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사업명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  <w:rPr>
                <w:lang w:eastAsia="ko-KR"/>
                <w:rFonts w:ascii="Arial" w:eastAsia="맑은 고딕" w:hAnsi="Arial" w:hint="eastAsia"/>
                <w:b w:val="0"/>
                <w:i w:val="0"/>
                <w:color w:val="1F2937"/>
                <w:sz w:val="19"/>
                <w:rtl w:val="off"/>
              </w:rPr>
            </w:pPr>
            <w:r>
              <w:rPr>
                <w:lang w:eastAsia="ko-KR"/>
                <w:rFonts w:ascii="Arial" w:eastAsia="맑은 고딕" w:hAnsi="Arial"/>
                <w:b w:val="0"/>
                <w:i w:val="0"/>
                <w:color w:val="1F2937"/>
                <w:sz w:val="19"/>
                <w:rtl w:val="off"/>
              </w:rPr>
              <w:t>2026년 중소기업 탄소중립 설비투자 지원 사업</w:t>
            </w:r>
          </w:p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인버터 제어형 공기압축기 및 모니터링 시스템 구매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발주기관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한국OSG㈜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대상 장비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GA90VSD+FF 1 SET / 모니터링 시스템 1 LOT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사업금액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lang w:eastAsia="ko-KR"/>
                <w:rFonts w:ascii="Arial" w:eastAsia="맑은 고딕" w:hAnsi="Arial"/>
                <w:b w:val="0"/>
                <w:i w:val="0"/>
                <w:color w:val="1F2937"/>
                <w:sz w:val="19"/>
                <w:rtl w:val="off"/>
              </w:rPr>
              <w:t>113,000,000</w:t>
            </w: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 xml:space="preserve">원(부가가치세 별도) / </w:t>
            </w:r>
            <w:r>
              <w:rPr>
                <w:lang w:eastAsia="ko-KR"/>
                <w:rFonts w:ascii="Arial" w:eastAsia="맑은 고딕" w:hAnsi="Arial"/>
                <w:b w:val="0"/>
                <w:i w:val="0"/>
                <w:color w:val="1F2937"/>
                <w:sz w:val="19"/>
                <w:rtl w:val="off"/>
              </w:rPr>
              <w:t>124,300,000</w:t>
            </w: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원(부가가치세 포함)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계약방법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일반(총액)·규격가격동시입찰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납품기한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2026년 10월 30일까지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납품장소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 w:themeFill="lt1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lang w:eastAsia="ko-KR"/>
                <w:rtl w:val="off"/>
              </w:rPr>
              <w:t>공기압축기실</w:t>
            </w:r>
          </w:p>
        </w:tc>
      </w:tr>
    </w:tbl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2. 입찰 일정 및 제출 방법</w:t>
      </w:r>
    </w:p>
    <w:tbl>
      <w:tblPr>
        <w:tblW w:w="0" w:type="auto"/>
        <w:tblBorders>
          <w:insideH w:val="single" w:sz="4" w:space="0" w:color="C9D2DF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2381"/>
        <w:gridCol w:w="7370"/>
      </w:tblGrid>
      <w:tr>
        <w:trPr>
          <w:trHeight w:val="494" w:hRule="atLeast"/>
        </w:trP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none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가격입찰 방법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none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 w:themeFill="lt1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국가종합전자조달시스템(나라장터) 전자입찰</w:t>
            </w:r>
          </w:p>
        </w:tc>
      </w:tr>
      <w:tr>
        <w:tc>
          <w:tcPr>
            <w:tcW w:w="2381" w:type="dxa"/>
            <w:tcBorders>
              <w:top w:val="none"/>
              <w:left w:val="single" w:sz="4" w:space="0" w:color="C9D2DF"/>
              <w:bottom w:val="none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제안서 제출처</w:t>
            </w:r>
          </w:p>
        </w:tc>
        <w:tc>
          <w:tcPr>
            <w:tcW w:w="7370" w:type="dxa"/>
            <w:tcBorders>
              <w:top w:val="none"/>
              <w:left w:val="single" w:sz="4" w:space="0" w:color="C9D2DF"/>
              <w:bottom w:val="none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 w:themeFill="lt1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9C0006"/>
                <w:sz w:val="19"/>
              </w:rPr>
              <w:t>나라장터</w:t>
            </w:r>
          </w:p>
        </w:tc>
      </w:tr>
      <w:tr>
        <w:tc>
          <w:tcPr>
            <w:tcW w:w="2381" w:type="dxa"/>
            <w:tcBorders>
              <w:top w:val="none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개찰장소</w:t>
            </w:r>
          </w:p>
        </w:tc>
        <w:tc>
          <w:tcPr>
            <w:tcW w:w="7370" w:type="dxa"/>
            <w:tcBorders>
              <w:top w:val="none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 w:themeFill="lt1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국가종합전자조달시스템(나라장터)</w:t>
            </w:r>
          </w:p>
        </w:tc>
      </w:tr>
    </w:tbl>
    <w:p>
      <w:pPr>
        <w:pStyle w:val="Heading2"/>
        <w:keepNext/>
        <w:spacing w:after="100" w:before="140" w:line="300" w:lineRule="auto"/>
      </w:pPr>
      <w:r>
        <w:rPr>
          <w:rFonts w:ascii="Arial" w:eastAsia="맑은 고딕" w:hAnsi="Arial"/>
          <w:b/>
          <w:i w:val="0"/>
          <w:color w:val="2F5597"/>
          <w:sz w:val="25"/>
        </w:rPr>
        <w:t>문의처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- 연락처 : 010 - 5504 - 6703, 이메일 : </w:t>
      </w:r>
      <w:r>
        <w:rPr>
          <w:lang w:eastAsia="ko-KR"/>
          <w:rtl w:val="off"/>
        </w:rPr>
        <w:fldChar w:fldCharType="begin"/>
      </w:r>
      <w:r>
        <w:rPr>
          <w:lang w:eastAsia="ko-KR"/>
          <w:rtl w:val="off"/>
        </w:rPr>
        <w:instrText xml:space="preserve"> HYPERLINK "mailto:cgjang@osg.co.kr" </w:instrText>
      </w:r>
      <w:r>
        <w:rPr>
          <w:lang w:eastAsia="ko-KR"/>
          <w:rtl w:val="off"/>
        </w:rPr>
        <w:fldChar w:fldCharType="separate"/>
      </w:r>
      <w:r>
        <w:rPr>
          <w:rStyle w:val="affff8"/>
          <w:lang w:eastAsia="ko-KR"/>
          <w:rFonts w:ascii="맑은 고딕" w:eastAsia="맑은 고딕" w:hAnsi="맑은 고딕" w:cs="Arial"/>
          <w:rtl w:val="off"/>
        </w:rPr>
        <w:t>cgjang@osg.co.kr</w:t>
      </w:r>
      <w:r>
        <w:rPr>
          <w:lang w:eastAsia="ko-KR"/>
          <w:rtl w:val="off"/>
        </w:rPr>
        <w:fldChar w:fldCharType="end"/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/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3. 입찰 참가자격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1.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국가종합전자조달시스템 경쟁입찰 참가자격 등록을 완료하고 관계 법령상 입찰 참가 제한을 받지 않은 업체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2.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제안 장비의 공급, 설치, 시운전 및 기술지원을 수행할 수 있으며 이를 객관적인 자료로 입증할 수 있는 업체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3.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제조사 또는 공식 공급사의 제품공급확약서 및 기술지원확약서를 제출할 수 있는 업체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4.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공고일 기준 부도, 파산, 영업정지 등 정상적인 계약 이행이 곤란한 상태에 있지 않은 업체</w:t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4. 낙찰자 결정 방법</w:t>
      </w:r>
    </w:p>
    <w:p>
      <w:pPr>
        <w:keepNext w:val="off"/>
        <w:spacing w:after="10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규격제안서와 가격입찰서를 함께 접수하는 규격·가격 동시입찰 방식으로 진행한다.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규격평가 점수가 85점 이상인 업체를 규격적격자로 선정한다.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규격적격자에 한하여 가격입찰서를 개찰하며, 예정가격 이하 최저가격 입찰자를 낙찰자로 결정한다.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동일가격 입찰자가 2인 이상인 경우에는 나라장터 전자조달 관련 기준 및 발주기관이 정한 절차에 따른다.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제안 내용은 객관적으로 입증 가능해야 하며 허위 사실이 확인되면 평가 또는 계약 대상에서 제외할 수 있다.</w:t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5. 제출서류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020"/>
        <w:gridCol w:w="6349"/>
        <w:gridCol w:w="2381"/>
      </w:tblGrid>
      <w:tr>
        <w:trPr>
          <w:tblHeader/>
        </w:trPr>
        <w:tc>
          <w:tcPr>
            <w:tcW w:w="10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번호</w:t>
            </w:r>
          </w:p>
        </w:tc>
        <w:tc>
          <w:tcPr>
            <w:tcW w:w="63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제출자료</w:t>
            </w:r>
          </w:p>
        </w:tc>
        <w:tc>
          <w:tcPr>
            <w:tcW w:w="23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수량/비고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1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규격제안서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3부 또는 전자파일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2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가격입찰서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나라장터 제출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3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사업자등록증 사본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1부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4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법인등기사항증명서 및 인감 관련 서류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각 1부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5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대리인 재직증명서 및 위임장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해당 시 각 1부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6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제품 카탈로그 및 상세 사양서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1식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7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제품공급확약서 및 기술지원확약서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각 1부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8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납품실적·인증·특허 등 증빙자료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해당 시 1식</w:t>
            </w:r>
          </w:p>
        </w:tc>
      </w:tr>
      <w:tr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9</w:t>
            </w:r>
          </w:p>
        </w:tc>
        <w:tc>
          <w:tcPr>
            <w:tcW w:w="6349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설치 배치도·전기도면·에너지절감 산출자료</w:t>
            </w:r>
          </w:p>
        </w:tc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1식</w:t>
            </w:r>
          </w:p>
        </w:tc>
      </w:tr>
    </w:tbl>
    <w:p>
      <w:pPr>
        <w:pStyle w:val="Heading2"/>
        <w:keepNext/>
        <w:spacing w:after="100" w:before="140" w:line="300" w:lineRule="auto"/>
      </w:pPr>
      <w:r>
        <w:rPr>
          <w:rFonts w:ascii="Arial" w:eastAsia="맑은 고딕" w:hAnsi="Arial"/>
          <w:b/>
          <w:i w:val="0"/>
          <w:color w:val="2F5597"/>
          <w:sz w:val="25"/>
        </w:rPr>
        <w:t>제안서 권장 구성</w:t>
      </w:r>
    </w:p>
    <w:p>
      <w:pPr>
        <w:keepNext w:val="off"/>
        <w:spacing w:after="10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① 제안사 소개  ② 제안 개요  ③ 사업비 내역  ④ 납품설비 규격  ⑤ 설치·시운전 계획  ⑥ 에너지절감 및 성과관리 계획  ⑦ 유지보수·기술지원 계획</w:t>
      </w:r>
    </w:p>
    <w:p>
      <w:r>
        <w:br w:type="page"/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6. 제안서 작성 및 제출 유의사항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1.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제안서는 한글로 작성하고 A4 규격을 원칙으로 하며, 발주기관이 요구한 모든 내용을 포함하여야 한다.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2.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제출된 제안 내용은 발주기관의 요청 또는 서면 승인 없이 임의로 변경할 수 없으며 계약 체결 시 계약조건의 일부로 본다.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3.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발주기관은 제안 내용 확인을 위해 추가자료 제출, 설명 또는 현장 확인을 요청할 수 있으며 제안자는 이에 협조하여야 한다.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4.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제안 준비 및 제출에 소요되는 비용은 제안자 부담이며 제출된 자료는 반환하지 않는다.</w:t>
      </w:r>
    </w:p>
    <w:p>
      <w:pPr>
        <w:ind w:left="340" w:hanging="340"/>
        <w:keepNext w:val="off"/>
        <w:spacing w:after="80" w:before="0" w:line="300" w:lineRule="auto"/>
      </w:pPr>
      <w:r>
        <w:rPr>
          <w:rFonts w:ascii="Arial" w:eastAsia="맑은 고딕" w:hAnsi="Arial"/>
          <w:b/>
          <w:i w:val="0"/>
          <w:color w:val="17365D"/>
          <w:sz w:val="20"/>
        </w:rPr>
        <w:t xml:space="preserve">5. </w:t>
      </w:r>
      <w:r>
        <w:rPr>
          <w:rFonts w:ascii="Arial" w:eastAsia="맑은 고딕" w:hAnsi="Arial"/>
          <w:b w:val="0"/>
          <w:i w:val="0"/>
          <w:color w:val="1F2937"/>
          <w:sz w:val="20"/>
        </w:rPr>
        <w:t>문서에 기재된 제품 성능, 납품실적, 기술인력 및 보증내용은 증빙자료로 확인할 수 있어야 한다.</w:t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7. 계약 및 대금지급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2381"/>
        <w:gridCol w:w="7370"/>
      </w:tblGrid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계약체결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낙찰 통보 후 발주기관이 정한 기한 내 체결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대금지급 조건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 w:themeFill="lt1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lang w:eastAsia="ko-KR"/>
                <w:rtl w:val="off"/>
              </w:rPr>
              <w:t>시운전 완료 후 30일 이내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계약보증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관련 법령 및 발주기관 기준에 따름</w:t>
            </w:r>
          </w:p>
        </w:tc>
      </w:tr>
      <w:tr>
        <w:tc>
          <w:tcPr>
            <w:tcW w:w="238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EAF0F8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17365D"/>
                <w:sz w:val="19"/>
              </w:rPr>
              <w:t>하자보증</w:t>
            </w:r>
          </w:p>
        </w:tc>
        <w:tc>
          <w:tcPr>
            <w:tcW w:w="737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FFFFF"/>
            <w:tcMar>
              <w:top w:w="105" w:type="dxa"/>
              <w:bottom w:w="105" w:type="dxa"/>
            </w:tcMar>
            <w:vAlign w:val="center"/>
          </w:tcPr>
          <w:p>
            <w:pPr>
              <w:keepNext w:val="off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9"/>
              </w:rPr>
              <w:t>최종 검사·검수 완료일로부터 3년</w:t>
            </w:r>
          </w:p>
        </w:tc>
      </w:tr>
    </w:tbl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8. 기타사항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공고문과 규격서의 해석에 이견이 있을 경우 발주기관의 서면 해석을 우선한다.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제안자는 현장조건과 공급범위를 충분히 확인한 후 입찰하여야 하며 확인 부족으로 인한 책임은 제안자에게 있다.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천재지변, 시스템 장애 등 불가피한 사유가 있는 경우 입찰 일정은 변경될 수 있다.</w:t>
      </w:r>
    </w:p>
    <w:p>
      <w:pPr>
        <w:ind w:left="340" w:hanging="170"/>
        <w:keepNext w:val="off"/>
        <w:spacing w:after="60" w:before="0" w:line="300" w:lineRule="auto"/>
      </w:pPr>
      <w:r>
        <w:rPr>
          <w:rFonts w:ascii="Arial" w:eastAsia="맑은 고딕" w:hAnsi="Arial"/>
          <w:b w:val="0"/>
          <w:i w:val="0"/>
          <w:color w:val="1F2937"/>
          <w:sz w:val="20"/>
        </w:rPr>
        <w:t>• 본 공고에 명시되지 않은 사항은 국가계약 관련 법령, 전자조달 관련 규정 및 발주기관의 계약조건에 따른다.</w:t>
      </w:r>
    </w:p>
    <w:p>
      <w:r>
        <w:br w:type="page"/>
      </w:r>
    </w:p>
    <w:p>
      <w:pPr>
        <w:pStyle w:val="Heading1"/>
        <w:keepNext/>
        <w:spacing w:after="160" w:before="60" w:line="300" w:lineRule="auto"/>
      </w:pPr>
      <w:r>
        <w:rPr>
          <w:rFonts w:ascii="Arial" w:eastAsia="맑은 고딕" w:hAnsi="Arial"/>
          <w:b/>
          <w:i w:val="0"/>
          <w:color w:val="17365D"/>
          <w:sz w:val="30"/>
        </w:rPr>
        <w:t>[별첨] 규격제안서 평가기준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3118"/>
        <w:gridCol w:w="1020"/>
        <w:gridCol w:w="3798"/>
      </w:tblGrid>
      <w:tr>
        <w:trPr>
          <w:tblHeader/>
        </w:trPr>
        <w:tc>
          <w:tcPr>
            <w:tcW w:w="18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평가영역</w:t>
            </w:r>
          </w:p>
        </w:tc>
        <w:tc>
          <w:tcPr>
            <w:tcW w:w="31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평가항목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배점</w:t>
            </w:r>
          </w:p>
        </w:tc>
        <w:tc>
          <w:tcPr>
            <w:tcW w:w="37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평가내용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사업수행능력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참여 기술자 경력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관련 업무 경력 및 증빙자료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사업수행능력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최근 납품실적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유사 장비 및 시스템 납품실적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장비성능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요구규격 적합성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20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GA90VSD+FF 주요 사양 및 공급범위 충족 여부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장비성능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성능·효율 우수성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운전 효율, 안정성 및 제어 성능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장비성능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공장시험 및 검증체계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부하시험, 검사설비 및 시험성적서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사업수행계획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설치·교체계획 적정성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공정, 안전, 생산영향 최소화 계획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사업수행계획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성과관리계획 구체성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15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데이터 수집, 분석 및 개선계획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유지관리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A/S 및 부품공급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10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3년 보증, 대응체계 및 부품수급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제안품질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문서 완성도·증빙성</w:t>
            </w: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10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제안의 구체성 및 객관적 증빙</w:t>
            </w:r>
          </w:p>
        </w:tc>
      </w:tr>
      <w:tr>
        <w:tc>
          <w:tcPr>
            <w:tcW w:w="1814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합계</w:t>
            </w:r>
          </w:p>
        </w:tc>
        <w:tc>
          <w:tcPr>
            <w:tcW w:w="311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</w:p>
        </w:tc>
        <w:tc>
          <w:tcPr>
            <w:tcW w:w="102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100</w:t>
            </w:r>
          </w:p>
        </w:tc>
        <w:tc>
          <w:tcPr>
            <w:tcW w:w="3798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shd w:val="clear" w:color="auto" w:fill="F6F8FB"/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6"/>
              </w:rPr>
              <w:t>85점 이상 규격적격</w:t>
            </w:r>
          </w:p>
        </w:tc>
      </w:tr>
    </w:tbl>
    <w:p>
      <w:pPr>
        <w:pStyle w:val="Heading2"/>
        <w:keepNext/>
        <w:spacing w:after="100" w:before="140" w:line="300" w:lineRule="auto"/>
      </w:pPr>
      <w:r>
        <w:rPr>
          <w:rFonts w:ascii="Arial" w:eastAsia="맑은 고딕" w:hAnsi="Arial"/>
          <w:b/>
          <w:i w:val="0"/>
          <w:color w:val="2F5597"/>
          <w:sz w:val="25"/>
        </w:rPr>
        <w:t>정성평가 기준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417"/>
        <w:gridCol w:w="2040"/>
        <w:gridCol w:w="2040"/>
        <w:gridCol w:w="2040"/>
        <w:gridCol w:w="2211"/>
      </w:tblGrid>
      <w:tr>
        <w:trPr>
          <w:tblHeader/>
        </w:trPr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등급</w:t>
            </w:r>
          </w:p>
        </w:tc>
        <w:tc>
          <w:tcPr>
            <w:tcW w:w="2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매우 우수</w:t>
            </w:r>
          </w:p>
        </w:tc>
        <w:tc>
          <w:tcPr>
            <w:tcW w:w="2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우수</w:t>
            </w:r>
          </w:p>
        </w:tc>
        <w:tc>
          <w:tcPr>
            <w:tcW w:w="2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보통</w:t>
            </w:r>
          </w:p>
        </w:tc>
        <w:tc>
          <w:tcPr>
            <w:tcW w:w="22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cBorders>
            <w:shd w:val="clear" w:color="auto" w:fill="17365D"/>
            <w:tcMar>
              <w:top w:w="100" w:type="dxa"/>
              <w:bottom w:w="10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/>
                <w:i w:val="0"/>
                <w:color w:val="FFFFFF"/>
                <w:sz w:val="18"/>
              </w:rPr>
              <w:t>미달</w:t>
            </w:r>
          </w:p>
        </w:tc>
      </w:tr>
      <w:tr>
        <w:tc>
          <w:tcPr>
            <w:tcW w:w="1417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적용비율</w:t>
            </w:r>
          </w:p>
        </w:tc>
        <w:tc>
          <w:tcPr>
            <w:tcW w:w="204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100%</w:t>
            </w:r>
          </w:p>
        </w:tc>
        <w:tc>
          <w:tcPr>
            <w:tcW w:w="204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75%</w:t>
            </w:r>
          </w:p>
        </w:tc>
        <w:tc>
          <w:tcPr>
            <w:tcW w:w="2040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left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50%</w:t>
            </w:r>
          </w:p>
        </w:tc>
        <w:tc>
          <w:tcPr>
            <w:tcW w:w="2211" w:type="dxa"/>
            <w:tcBorders>
              <w:top w:val="single" w:sz="4" w:space="0" w:color="C9D2DF"/>
              <w:left w:val="single" w:sz="4" w:space="0" w:color="C9D2DF"/>
              <w:bottom w:val="single" w:sz="4" w:space="0" w:color="C9D2DF"/>
              <w:right w:val="single" w:sz="4" w:space="0" w:color="C9D2DF"/>
              <w:insideH w:val="single" w:sz="4" w:space="0" w:color="C9D2DF"/>
              <w:insideV w:val="single" w:sz="4" w:space="0" w:color="C9D2DF"/>
            </w:tcBorders>
            <w:tcMar>
              <w:top w:w="90" w:type="dxa"/>
              <w:bottom w:w="90" w:type="dxa"/>
            </w:tcMar>
            <w:vAlign w:val="center"/>
          </w:tcPr>
          <w:p>
            <w:pPr>
              <w:keepNext w:val="off"/>
              <w:jc w:val="center"/>
              <w:spacing w:after="0" w:before="0" w:line="300" w:lineRule="auto"/>
            </w:pPr>
            <w:r>
              <w:rPr>
                <w:rFonts w:ascii="Arial" w:eastAsia="맑은 고딕" w:hAnsi="Arial"/>
                <w:b w:val="0"/>
                <w:i w:val="0"/>
                <w:color w:val="1F2937"/>
                <w:sz w:val="17"/>
              </w:rPr>
              <w:t>0%</w:t>
            </w:r>
          </w:p>
        </w:tc>
      </w:tr>
    </w:tbl>
    <w:p>
      <w:pPr>
        <w:keepNext w:val="off"/>
        <w:spacing w:after="0" w:before="180" w:line="300" w:lineRule="auto"/>
      </w:pPr>
      <w:r>
        <w:rPr>
          <w:rFonts w:ascii="Arial" w:eastAsia="맑은 고딕" w:hAnsi="Arial"/>
          <w:b w:val="0"/>
          <w:i w:val="0"/>
          <w:color w:val="667085"/>
          <w:sz w:val="17"/>
        </w:rPr>
        <w:t>※ 세부 배점과 평가위원 구성은 발주기관 내부 기준에 따라 조정할 수 있습니다.</w:t>
      </w:r>
    </w:p>
    <w:sectPr>
      <w:pgSz w:w="11906" w:h="16838"/>
      <w:pgMar w:top="1020" w:right="1077" w:bottom="964" w:left="1077" w:header="454" w:footer="454" w:gutter="0"/>
      <w:cols w:space="720"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Courier">
    <w:charset w:val="00"/>
    <w:notTrueType w:val="false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keepNext w:val="off"/>
      <w:jc w:val="center"/>
      <w:spacing w:after="0" w:before="0" w:line="300" w:lineRule="auto"/>
    </w:pPr>
    <w:r>
      <w:rPr>
        <w:rFonts w:ascii="Arial" w:eastAsia="맑은 고딕" w:hAnsi="Arial"/>
        <w:b w:val="0"/>
        <w:i w:val="0"/>
        <w:color w:val="667085"/>
        <w:sz w:val="16"/>
      </w:rPr>
      <w:t>한국OSG㈜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Header"/>
      <w:keepNext w:val="off"/>
      <w:jc w:val="right"/>
      <w:spacing w:after="0" w:before="0" w:line="300" w:lineRule="auto"/>
    </w:pPr>
    <w:r>
      <w:rPr>
        <w:rFonts w:ascii="Arial" w:eastAsia="맑은 고딕" w:hAnsi="Arial"/>
        <w:b w:val="0"/>
        <w:i w:val="0"/>
        <w:color w:val="667085"/>
        <w:sz w:val="16"/>
      </w:rPr>
      <w:t>한국OSG㈜ | 입찰공고서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13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150" w:unhideWhenUsed="0"/>
    <w:lsdException w:name="Light List" w:semiHidden="0" w:uiPriority="151" w:unhideWhenUsed="0"/>
    <w:lsdException w:name="Light Grid" w:semiHidden="0" w:uiPriority="152" w:unhideWhenUsed="0"/>
    <w:lsdException w:name="Medium Shading 1" w:semiHidden="0" w:uiPriority="153" w:unhideWhenUsed="0"/>
    <w:lsdException w:name="Medium Shading 2" w:semiHidden="0" w:uiPriority="256" w:unhideWhenUsed="0"/>
    <w:lsdException w:name="Medium List 1" w:semiHidden="0" w:uiPriority="257" w:unhideWhenUsed="0"/>
    <w:lsdException w:name="Medium List 2" w:semiHidden="0" w:uiPriority="258" w:unhideWhenUsed="0"/>
    <w:lsdException w:name="Medium Grid 1" w:semiHidden="0" w:uiPriority="259" w:unhideWhenUsed="0"/>
    <w:lsdException w:name="Medium Grid 2" w:semiHidden="0" w:uiPriority="260" w:unhideWhenUsed="0"/>
    <w:lsdException w:name="Medium Grid 3" w:semiHidden="0" w:uiPriority="261" w:unhideWhenUsed="0"/>
    <w:lsdException w:name="Dark List" w:semiHidden="0" w:uiPriority="274" w:unhideWhenUsed="0"/>
    <w:lsdException w:name="Colorful Shading" w:semiHidden="0" w:uiPriority="275" w:unhideWhenUsed="0"/>
    <w:lsdException w:name="Colorful List" w:semiHidden="0" w:uiPriority="276" w:unhideWhenUsed="0"/>
    <w:lsdException w:name="Colorful Grid" w:semiHidden="0" w:uiPriority="277" w:unhideWhenUsed="0"/>
    <w:lsdException w:name="Light Shading Accent 1" w:semiHidden="0" w:uiPriority="150" w:unhideWhenUsed="0"/>
    <w:lsdException w:name="Light List Accent 1" w:semiHidden="0" w:uiPriority="151" w:unhideWhenUsed="0"/>
    <w:lsdException w:name="Light Grid Accent 1" w:semiHidden="0" w:uiPriority="152" w:unhideWhenUsed="0"/>
    <w:lsdException w:name="Medium Shading 1 Accent 1" w:semiHidden="0" w:uiPriority="153" w:unhideWhenUsed="0"/>
    <w:lsdException w:name="Medium Shading 2 Accent 1" w:semiHidden="0" w:uiPriority="256" w:unhideWhenUsed="0"/>
    <w:lsdException w:name="Medium List 1 Accent 1" w:semiHidden="0" w:uiPriority="257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258" w:unhideWhenUsed="0"/>
    <w:lsdException w:name="Medium Grid 1 Accent 1" w:semiHidden="0" w:uiPriority="259" w:unhideWhenUsed="0"/>
    <w:lsdException w:name="Medium Grid 2 Accent 1" w:semiHidden="0" w:uiPriority="260" w:unhideWhenUsed="0"/>
    <w:lsdException w:name="Medium Grid 3 Accent 1" w:semiHidden="0" w:uiPriority="261" w:unhideWhenUsed="0"/>
    <w:lsdException w:name="Dark List Accent 1" w:semiHidden="0" w:uiPriority="274" w:unhideWhenUsed="0"/>
    <w:lsdException w:name="Colorful Shading Accent 1" w:semiHidden="0" w:uiPriority="275" w:unhideWhenUsed="0"/>
    <w:lsdException w:name="Colorful List Accent 1" w:semiHidden="0" w:uiPriority="276" w:unhideWhenUsed="0"/>
    <w:lsdException w:name="Colorful Grid Accent 1" w:semiHidden="0" w:uiPriority="277" w:unhideWhenUsed="0"/>
    <w:lsdException w:name="Light Shading Accent 2" w:semiHidden="0" w:uiPriority="150" w:unhideWhenUsed="0"/>
    <w:lsdException w:name="Light List Accent 2" w:semiHidden="0" w:uiPriority="151" w:unhideWhenUsed="0"/>
    <w:lsdException w:name="Light Grid Accent 2" w:semiHidden="0" w:uiPriority="152" w:unhideWhenUsed="0"/>
    <w:lsdException w:name="Medium Shading 1 Accent 2" w:semiHidden="0" w:uiPriority="153" w:unhideWhenUsed="0"/>
    <w:lsdException w:name="Medium Shading 2 Accent 2" w:semiHidden="0" w:uiPriority="256" w:unhideWhenUsed="0"/>
    <w:lsdException w:name="Medium List 1 Accent 2" w:semiHidden="0" w:uiPriority="257" w:unhideWhenUsed="0"/>
    <w:lsdException w:name="Medium List 2 Accent 2" w:semiHidden="0" w:uiPriority="258" w:unhideWhenUsed="0"/>
    <w:lsdException w:name="Medium Grid 1 Accent 2" w:semiHidden="0" w:uiPriority="259" w:unhideWhenUsed="0"/>
    <w:lsdException w:name="Medium Grid 2 Accent 2" w:semiHidden="0" w:uiPriority="260" w:unhideWhenUsed="0"/>
    <w:lsdException w:name="Medium Grid 3 Accent 2" w:semiHidden="0" w:uiPriority="261" w:unhideWhenUsed="0"/>
    <w:lsdException w:name="Dark List Accent 2" w:semiHidden="0" w:uiPriority="274" w:unhideWhenUsed="0"/>
    <w:lsdException w:name="Colorful Shading Accent 2" w:semiHidden="0" w:uiPriority="275" w:unhideWhenUsed="0"/>
    <w:lsdException w:name="Colorful List Accent 2" w:semiHidden="0" w:uiPriority="276" w:unhideWhenUsed="0"/>
    <w:lsdException w:name="Colorful Grid Accent 2" w:semiHidden="0" w:uiPriority="277" w:unhideWhenUsed="0"/>
    <w:lsdException w:name="Light Shading Accent 3" w:semiHidden="0" w:uiPriority="150" w:unhideWhenUsed="0"/>
    <w:lsdException w:name="Light List Accent 3" w:semiHidden="0" w:uiPriority="151" w:unhideWhenUsed="0"/>
    <w:lsdException w:name="Light Grid Accent 3" w:semiHidden="0" w:uiPriority="152" w:unhideWhenUsed="0"/>
    <w:lsdException w:name="Medium Shading 1 Accent 3" w:semiHidden="0" w:uiPriority="153" w:unhideWhenUsed="0"/>
    <w:lsdException w:name="Medium Shading 2 Accent 3" w:semiHidden="0" w:uiPriority="256" w:unhideWhenUsed="0"/>
    <w:lsdException w:name="Medium List 1 Accent 3" w:semiHidden="0" w:uiPriority="257" w:unhideWhenUsed="0"/>
    <w:lsdException w:name="Medium List 2 Accent 3" w:semiHidden="0" w:uiPriority="258" w:unhideWhenUsed="0"/>
    <w:lsdException w:name="Medium Grid 1 Accent 3" w:semiHidden="0" w:uiPriority="259" w:unhideWhenUsed="0"/>
    <w:lsdException w:name="Medium Grid 2 Accent 3" w:semiHidden="0" w:uiPriority="260" w:unhideWhenUsed="0"/>
    <w:lsdException w:name="Medium Grid 3 Accent 3" w:semiHidden="0" w:uiPriority="261" w:unhideWhenUsed="0"/>
    <w:lsdException w:name="Dark List Accent 3" w:semiHidden="0" w:uiPriority="274" w:unhideWhenUsed="0"/>
    <w:lsdException w:name="Colorful Shading Accent 3" w:semiHidden="0" w:uiPriority="275" w:unhideWhenUsed="0"/>
    <w:lsdException w:name="Colorful List Accent 3" w:semiHidden="0" w:uiPriority="276" w:unhideWhenUsed="0"/>
    <w:lsdException w:name="Colorful Grid Accent 3" w:semiHidden="0" w:uiPriority="277" w:unhideWhenUsed="0"/>
    <w:lsdException w:name="Light Shading Accent 4" w:semiHidden="0" w:uiPriority="150" w:unhideWhenUsed="0"/>
    <w:lsdException w:name="Light List Accent 4" w:semiHidden="0" w:uiPriority="151" w:unhideWhenUsed="0"/>
    <w:lsdException w:name="Light Grid Accent 4" w:semiHidden="0" w:uiPriority="152" w:unhideWhenUsed="0"/>
    <w:lsdException w:name="Medium Shading 1 Accent 4" w:semiHidden="0" w:uiPriority="153" w:unhideWhenUsed="0"/>
    <w:lsdException w:name="Medium Shading 2 Accent 4" w:semiHidden="0" w:uiPriority="256" w:unhideWhenUsed="0"/>
    <w:lsdException w:name="Medium List 1 Accent 4" w:semiHidden="0" w:uiPriority="257" w:unhideWhenUsed="0"/>
    <w:lsdException w:name="Medium List 2 Accent 4" w:semiHidden="0" w:uiPriority="258" w:unhideWhenUsed="0"/>
    <w:lsdException w:name="Medium Grid 1 Accent 4" w:semiHidden="0" w:uiPriority="259" w:unhideWhenUsed="0"/>
    <w:lsdException w:name="Medium Grid 2 Accent 4" w:semiHidden="0" w:uiPriority="260" w:unhideWhenUsed="0"/>
    <w:lsdException w:name="Medium Grid 3 Accent 4" w:semiHidden="0" w:uiPriority="261" w:unhideWhenUsed="0"/>
    <w:lsdException w:name="Dark List Accent 4" w:semiHidden="0" w:uiPriority="274" w:unhideWhenUsed="0"/>
    <w:lsdException w:name="Colorful Shading Accent 4" w:semiHidden="0" w:uiPriority="275" w:unhideWhenUsed="0"/>
    <w:lsdException w:name="Colorful List Accent 4" w:semiHidden="0" w:uiPriority="276" w:unhideWhenUsed="0"/>
    <w:lsdException w:name="Colorful Grid Accent 4" w:semiHidden="0" w:uiPriority="277" w:unhideWhenUsed="0"/>
    <w:lsdException w:name="Light Shading Accent 5" w:semiHidden="0" w:uiPriority="150" w:unhideWhenUsed="0"/>
    <w:lsdException w:name="Light List Accent 5" w:semiHidden="0" w:uiPriority="151" w:unhideWhenUsed="0"/>
    <w:lsdException w:name="Light Grid Accent 5" w:semiHidden="0" w:uiPriority="152" w:unhideWhenUsed="0"/>
    <w:lsdException w:name="Medium Shading 1 Accent 5" w:semiHidden="0" w:uiPriority="153" w:unhideWhenUsed="0"/>
    <w:lsdException w:name="Medium Shading 2 Accent 5" w:semiHidden="0" w:uiPriority="256" w:unhideWhenUsed="0"/>
    <w:lsdException w:name="Medium List 1 Accent 5" w:semiHidden="0" w:uiPriority="257" w:unhideWhenUsed="0"/>
    <w:lsdException w:name="Medium List 2 Accent 5" w:semiHidden="0" w:uiPriority="258" w:unhideWhenUsed="0"/>
    <w:lsdException w:name="Medium Grid 1 Accent 5" w:semiHidden="0" w:uiPriority="259" w:unhideWhenUsed="0"/>
    <w:lsdException w:name="Medium Grid 2 Accent 5" w:semiHidden="0" w:uiPriority="260" w:unhideWhenUsed="0"/>
    <w:lsdException w:name="Medium Grid 3 Accent 5" w:semiHidden="0" w:uiPriority="261" w:unhideWhenUsed="0"/>
    <w:lsdException w:name="Dark List Accent 5" w:semiHidden="0" w:uiPriority="274" w:unhideWhenUsed="0"/>
    <w:lsdException w:name="Colorful Shading Accent 5" w:semiHidden="0" w:uiPriority="275" w:unhideWhenUsed="0"/>
    <w:lsdException w:name="Colorful List Accent 5" w:semiHidden="0" w:uiPriority="276" w:unhideWhenUsed="0"/>
    <w:lsdException w:name="Colorful Grid Accent 5" w:semiHidden="0" w:uiPriority="277" w:unhideWhenUsed="0"/>
    <w:lsdException w:name="Light Shading Accent 6" w:semiHidden="0" w:uiPriority="150" w:unhideWhenUsed="0"/>
    <w:lsdException w:name="Light List Accent 6" w:semiHidden="0" w:uiPriority="151" w:unhideWhenUsed="0"/>
    <w:lsdException w:name="Light Grid Accent 6" w:semiHidden="0" w:uiPriority="152" w:unhideWhenUsed="0"/>
    <w:lsdException w:name="Medium Shading 1 Accent 6" w:semiHidden="0" w:uiPriority="153" w:unhideWhenUsed="0"/>
    <w:lsdException w:name="Medium Shading 2 Accent 6" w:semiHidden="0" w:uiPriority="256" w:unhideWhenUsed="0"/>
    <w:lsdException w:name="Medium List 1 Accent 6" w:semiHidden="0" w:uiPriority="257" w:unhideWhenUsed="0"/>
    <w:lsdException w:name="Medium List 2 Accent 6" w:semiHidden="0" w:uiPriority="258" w:unhideWhenUsed="0"/>
    <w:lsdException w:name="Medium Grid 1 Accent 6" w:semiHidden="0" w:uiPriority="259" w:unhideWhenUsed="0"/>
    <w:lsdException w:name="Medium Grid 2 Accent 6" w:semiHidden="0" w:uiPriority="260" w:unhideWhenUsed="0"/>
    <w:lsdException w:name="Medium Grid 3 Accent 6" w:semiHidden="0" w:uiPriority="261" w:unhideWhenUsed="0"/>
    <w:lsdException w:name="Dark List Accent 6" w:semiHidden="0" w:uiPriority="274" w:unhideWhenUsed="0"/>
    <w:lsdException w:name="Colorful Shading Accent 6" w:semiHidden="0" w:uiPriority="275" w:unhideWhenUsed="0"/>
    <w:lsdException w:name="Colorful List Accent 6" w:semiHidden="0" w:uiPriority="276" w:unhideWhenUsed="0"/>
    <w:lsdException w:name="Colorful Grid Accent 6" w:semiHidden="0" w:uiPriority="277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Normal">
    <w:name w:val="Normal"/>
    <w:qFormat/>
    <w:pPr>
      <w:spacing w:after="100" w:line="300" w:lineRule="auto"/>
    </w:pPr>
    <w:rPr>
      <w:rFonts w:ascii="맑은 고딕" w:eastAsia="맑은 고딕" w:hAnsi="맑은 고딕"/>
      <w:sz w:val="20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17365D"/>
      <w:sz w:val="30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2F5597"/>
      <w:sz w:val="25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1F2937"/>
      <w:sz w:val="22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b/>
      <w:color w:val="17365D"/>
      <w:sz w:val="48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7F7F7F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  <w:insideV w:val="single" w:sz="8" w:space="0" w:color="3F3F3F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color w:val="000000"/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F7F7F" w:themeFill="text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C0DE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89898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BCBCB" w:themeFill="text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text1" w:themeFillTint="33"/>
    </w:tcPr>
    <w:tblStylePr w:type="firstRow">
      <w:rPr>
        <w:b/>
        <w:bCs/>
      </w:rPr>
      <w:tblPr/>
      <w:tcPr>
        <w:shd w:val="clear" w:color="auto" w:fill="989898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ffff8">
    <w:name w:val="Hyperlink"/>
    <w:uiPriority w:val="99"/>
    <w:basedOn w:val="DefaultParagraphFont"/>
    <w:unhideWhenUsed/>
    <w:rPr>
      <w:color w:val="0000FF"/>
      <w:u w:val="single" w:color="auto"/>
    </w:rPr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한국OSG 인버터 제어형 공기압축기 및 모니터링 시스템 입찰공고서</dc:title>
  <dc:subject/>
  <dc:creator>user</dc:creator>
  <cp:keywords/>
  <dc:description>generated by python-docx</dc:description>
  <cp:lastModifiedBy>user</cp:lastModifiedBy>
  <cp:revision>1</cp:revision>
  <dcterms:created xsi:type="dcterms:W3CDTF">2013-12-23T23:15:00Z</dcterms:created>
  <dcterms:modified xsi:type="dcterms:W3CDTF">2026-08-10T01:55:36Z</dcterms:modified>
  <cp:version>1200.0100.01</cp:version>
</cp:coreProperties>
</file>