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100" w:line="278" w:lineRule="auto"/>
      </w:pPr>
      <w:r>
        <w:rPr>
          <w:rFonts w:ascii="NanumSquare" w:eastAsia="NanumSquare" w:hAnsi="NanumSquare"/>
          <w:b/>
          <w:color w:val="1F4E79"/>
          <w:sz w:val="44"/>
        </w:rPr>
        <w:t>입 찰 공 고 문</w:t>
      </w:r>
    </w:p>
    <w:p>
      <w:pPr>
        <w:jc w:val="center"/>
        <w:spacing w:after="280" w:line="278" w:lineRule="auto"/>
      </w:pPr>
      <w:r>
        <w:rPr>
          <w:rFonts w:ascii="NanumSquare" w:eastAsia="NanumSquare" w:hAnsi="NanumSquare"/>
          <w:b/>
          <w:color w:val="212121"/>
          <w:sz w:val="25"/>
        </w:rPr>
        <w:t>주짓수 국가대표 전문훈련매트 구매</w:t>
      </w:r>
    </w:p>
    <w:p>
      <w:pPr>
        <w:jc w:val="center"/>
        <w:spacing w:after="60" w:line="278" w:lineRule="auto"/>
      </w:pPr>
    </w:p>
    <w:tbl>
      <w:tblPr>
        <w:tblStyle w:val="TableGrid"/>
        <w:tblW w:w="0" w:type="auto"/>
        <w:tblBorders>
          <w:top w:val="single" w:sz="5" w:space="0" w:color="AAB7C4"/>
          <w:left w:val="single" w:sz="5" w:space="0" w:color="AAB7C4"/>
          <w:bottom w:val="single" w:sz="5" w:space="0" w:color="AAB7C4"/>
          <w:right w:val="single" w:sz="5" w:space="0" w:color="AAB7C4"/>
          <w:insideH w:val="single" w:sz="5" w:space="0" w:color="AAB7C4"/>
          <w:insideV w:val="single" w:sz="5" w:space="0" w:color="AAB7C4"/>
        </w:tblBorders>
        <w:tblLook w:val="04A0" w:firstRow="1" w:lastRow="0" w:firstColumn="1" w:lastColumn="0" w:noHBand="0" w:noVBand="1"/>
        <w:jc w:val="center"/>
        <w:tblLayout w:type="fixed"/>
      </w:tblPr>
      <w:tblGrid>
        <w:gridCol w:w="4997"/>
        <w:gridCol w:w="4997"/>
      </w:tblGrid>
      <w:tr>
        <w:trPr>
          <w:cantSplit/>
        </w:trPr>
        <w:tc>
          <w:tcPr>
            <w:tcW w:w="2608" w:type="dxa"/>
            <w:shd w:val="clear" w:color="auto" w:fill="DCE6F1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7"/>
              </w:rPr>
              <w:t>수요기관</w:t>
            </w:r>
          </w:p>
        </w:tc>
        <w:tc>
          <w:tcPr>
            <w:tcW w:w="6633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대한주짓수회</w:t>
            </w:r>
          </w:p>
        </w:tc>
      </w:tr>
      <w:tr>
        <w:trPr>
          <w:cantSplit/>
        </w:trPr>
        <w:tc>
          <w:tcPr>
            <w:tcW w:w="2608" w:type="dxa"/>
            <w:shd w:val="clear" w:color="auto" w:fill="DCE6F1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7"/>
              </w:rPr>
              <w:t>계약방법</w:t>
            </w:r>
          </w:p>
        </w:tc>
        <w:tc>
          <w:tcPr>
            <w:tcW w:w="6633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일반경쟁 / 규격·가격 동시입찰</w:t>
            </w:r>
          </w:p>
        </w:tc>
      </w:tr>
      <w:tr>
        <w:trPr>
          <w:cantSplit/>
        </w:trPr>
        <w:tc>
          <w:tcPr>
            <w:tcW w:w="2608" w:type="dxa"/>
            <w:shd w:val="clear" w:color="auto" w:fill="DCE6F1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7"/>
              </w:rPr>
              <w:t>구매물품</w:t>
            </w:r>
          </w:p>
        </w:tc>
        <w:tc>
          <w:tcPr>
            <w:tcW w:w="6633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국가대표 도복 주짓수(Gi) 전문훈련용 타타미 매트</w:t>
            </w:r>
          </w:p>
        </w:tc>
      </w:tr>
      <w:tr>
        <w:trPr>
          <w:cantSplit/>
        </w:trPr>
        <w:tc>
          <w:tcPr>
            <w:tcW w:w="2608" w:type="dxa"/>
            <w:shd w:val="clear" w:color="auto" w:fill="DCE6F1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7"/>
              </w:rPr>
              <w:t>참고모델</w:t>
            </w:r>
          </w:p>
        </w:tc>
        <w:tc>
          <w:tcPr>
            <w:tcW w:w="6633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Zebra Athletics 1.5" Tatami Mat 또는 동등 이상의 제품</w:t>
            </w:r>
          </w:p>
        </w:tc>
      </w:tr>
      <w:tr>
        <w:trPr>
          <w:cantSplit/>
        </w:trPr>
        <w:tc>
          <w:tcPr>
            <w:tcW w:w="2608" w:type="dxa"/>
            <w:shd w:val="clear" w:color="auto" w:fill="DCE6F1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7"/>
              </w:rPr>
              <w:t>수량</w:t>
            </w:r>
          </w:p>
        </w:tc>
        <w:tc>
          <w:tcPr>
            <w:tcW w:w="6633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1</w:t>
            </w:r>
            <w:r>
              <w:rPr>
                <w:rFonts w:ascii="Noto Sans CJK KR" w:eastAsia="Noto Sans CJK KR" w:hAnsi="Noto Sans CJK KR"/>
                <w:sz w:val="17"/>
              </w:rPr>
              <w:t>조(192장)</w:t>
            </w:r>
          </w:p>
        </w:tc>
      </w:tr>
      <w:tr>
        <w:trPr>
          <w:cantSplit/>
        </w:trPr>
        <w:tc>
          <w:tcPr>
            <w:tcW w:w="2608" w:type="dxa"/>
            <w:shd w:val="clear" w:color="auto" w:fill="DCE6F1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7"/>
              </w:rPr>
              <w:t>기초금액</w:t>
            </w:r>
          </w:p>
        </w:tc>
        <w:tc>
          <w:tcPr>
            <w:tcW w:w="6633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금 48,000,000원(부가가치세 포함)</w:t>
            </w:r>
          </w:p>
        </w:tc>
      </w:tr>
      <w:tr>
        <w:trPr>
          <w:cantSplit/>
        </w:trPr>
        <w:tc>
          <w:tcPr>
            <w:tcW w:w="2608" w:type="dxa"/>
            <w:shd w:val="clear" w:color="auto" w:fill="DCE6F1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7"/>
              </w:rPr>
              <w:t>납품기한</w:t>
            </w:r>
          </w:p>
        </w:tc>
        <w:tc>
          <w:tcPr>
            <w:tcW w:w="6633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계약체결일로부터 30일 이내</w:t>
            </w:r>
          </w:p>
        </w:tc>
      </w:tr>
      <w:tr>
        <w:trPr>
          <w:cantSplit/>
        </w:trPr>
        <w:tc>
          <w:tcPr>
            <w:tcW w:w="2608" w:type="dxa"/>
            <w:shd w:val="clear" w:color="auto" w:fill="DCE6F1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7"/>
              </w:rPr>
              <w:t>납품장소</w:t>
            </w:r>
          </w:p>
        </w:tc>
        <w:tc>
          <w:tcPr>
            <w:tcW w:w="6633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태백선수촌 예정</w:t>
            </w:r>
            <w:r>
              <w:rPr>
                <w:rFonts w:ascii="Noto Sans CJK KR" w:eastAsia="Noto Sans CJK KR" w:hAnsi="Noto Sans CJK KR"/>
                <w:sz w:val="17"/>
              </w:rPr>
              <w:br/>
            </w:r>
            <w:r>
              <w:rPr>
                <w:rFonts w:ascii="Noto Sans CJK KR" w:eastAsia="Noto Sans CJK KR" w:hAnsi="Noto Sans CJK KR"/>
                <w:sz w:val="17"/>
              </w:rPr>
              <w:t>(훈련 운영계획에 따라 진천선수촌 등 수요기관 지정장소로 변경 가능)</w:t>
            </w:r>
          </w:p>
        </w:tc>
      </w:tr>
    </w:tbl>
    <w:p>
      <w:pPr>
        <w:spacing w:after="60" w:line="278" w:lineRule="auto"/>
      </w:pPr>
    </w:p>
    <w:tbl>
      <w:tblPr>
        <w:tblStyle w:val="TableGrid"/>
        <w:tblW w:w="0" w:type="auto"/>
        <w:tblBorders>
          <w:top w:val="single" w:sz="5" w:space="0" w:color="AAB7C4"/>
          <w:left w:val="single" w:sz="5" w:space="0" w:color="AAB7C4"/>
          <w:bottom w:val="single" w:sz="5" w:space="0" w:color="AAB7C4"/>
          <w:right w:val="single" w:sz="5" w:space="0" w:color="AAB7C4"/>
          <w:insideH w:val="single" w:sz="5" w:space="0" w:color="AAB7C4"/>
          <w:insideV w:val="single" w:sz="5" w:space="0" w:color="AAB7C4"/>
        </w:tblBorders>
        <w:tblLook w:val="04A0" w:firstRow="1" w:lastRow="0" w:firstColumn="1" w:lastColumn="0" w:noHBand="0" w:noVBand="1"/>
        <w:jc w:val="center"/>
        <w:tblLayout w:type="fixed"/>
      </w:tblPr>
      <w:tblGrid>
        <w:gridCol w:w="9994"/>
      </w:tblGrid>
      <w:tr>
        <w:trPr>
          <w:cantSplit/>
        </w:trPr>
        <w:tc>
          <w:tcPr>
            <w:tcW w:w="9994" w:type="dxa"/>
            <w:shd w:val="clear" w:color="auto" w:fill="FFF2CC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b/>
                <w:color w:val="5A4619"/>
                <w:sz w:val="16"/>
              </w:rPr>
              <w:t>중요: 본 공고는 참고모델을 품질 및 성능수준의 기준으로 제시하며, 동등 이상의 제품 제안을 허용합니다. 동등성은 물품규격서와 규격심사표에 따라 객관적으로 심사합니다.</w:t>
            </w:r>
          </w:p>
        </w:tc>
      </w:tr>
    </w:tbl>
    <w:p>
      <w:pPr>
        <w:spacing w:after="60" w:line="278" w:lineRule="auto"/>
      </w:pPr>
      <w:r>
        <w:rPr>
          <w:rFonts w:ascii="Noto Sans CJK KR" w:eastAsia="Noto Sans CJK KR" w:hAnsi="Noto Sans CJK KR"/>
          <w:sz w:val="18"/>
        </w:rPr>
        <w:br w:type="page"/>
      </w:r>
    </w:p>
    <w:p>
      <w:pPr>
        <w:pStyle w:val="Heading1"/>
        <w:keepNext/>
        <w:spacing w:after="80" w:before="180" w:line="278" w:lineRule="auto"/>
      </w:pPr>
      <w:r>
        <w:rPr>
          <w:rFonts w:ascii="NanumSquare" w:eastAsia="NanumSquare" w:hAnsi="NanumSquare"/>
          <w:b/>
          <w:color w:val="1F4E79"/>
          <w:sz w:val="23"/>
        </w:rPr>
        <w:t>1. 입찰에 부치는 사항</w:t>
      </w:r>
    </w:p>
    <w:tbl>
      <w:tblPr>
        <w:tblStyle w:val="TableGrid"/>
        <w:tblW w:w="0" w:type="auto"/>
        <w:tblBorders>
          <w:top w:val="single" w:sz="5" w:space="0" w:color="AAB7C4"/>
          <w:left w:val="single" w:sz="5" w:space="0" w:color="AAB7C4"/>
          <w:bottom w:val="single" w:sz="5" w:space="0" w:color="AAB7C4"/>
          <w:right w:val="single" w:sz="5" w:space="0" w:color="AAB7C4"/>
          <w:insideH w:val="single" w:sz="5" w:space="0" w:color="AAB7C4"/>
          <w:insideV w:val="single" w:sz="5" w:space="0" w:color="AAB7C4"/>
        </w:tblBorders>
        <w:tblLook w:val="04A0" w:firstRow="1" w:lastRow="0" w:firstColumn="1" w:lastColumn="0" w:noHBand="0" w:noVBand="1"/>
        <w:jc w:val="center"/>
        <w:tblLayout w:type="fixed"/>
      </w:tblPr>
      <w:tblGrid>
        <w:gridCol w:w="4997"/>
        <w:gridCol w:w="4997"/>
      </w:tblGrid>
      <w:tr>
        <w:trPr>
          <w:cantSplit/>
          <w:tblHeader/>
        </w:trPr>
        <w:tc>
          <w:tcPr>
            <w:tcW w:w="2381" w:type="dxa"/>
            <w:shd w:val="clear" w:color="auto" w:fill="1F4E79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FFFFFF"/>
                <w:sz w:val="17"/>
              </w:rPr>
              <w:t>구분</w:t>
            </w:r>
          </w:p>
        </w:tc>
        <w:tc>
          <w:tcPr>
            <w:tcW w:w="6860" w:type="dxa"/>
            <w:shd w:val="clear" w:color="auto" w:fill="1F4E79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FFFFFF"/>
                <w:sz w:val="17"/>
              </w:rPr>
              <w:t>내용</w:t>
            </w:r>
          </w:p>
        </w:tc>
      </w:tr>
      <w:tr>
        <w:trPr>
          <w:cantSplit/>
        </w:trPr>
        <w:tc>
          <w:tcPr>
            <w:tcW w:w="2381" w:type="dxa"/>
            <w:shd w:val="clear" w:color="auto" w:fill="F4F7F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사업명</w:t>
            </w:r>
          </w:p>
        </w:tc>
        <w:tc>
          <w:tcPr>
            <w:tcW w:w="6860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주짓수 국가대표 전문훈련매트 구매</w:t>
            </w:r>
          </w:p>
        </w:tc>
      </w:tr>
      <w:tr>
        <w:trPr>
          <w:cantSplit/>
        </w:trPr>
        <w:tc>
          <w:tcPr>
            <w:tcW w:w="2381" w:type="dxa"/>
            <w:shd w:val="clear" w:color="auto" w:fill="F4F7F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품명</w:t>
            </w:r>
          </w:p>
        </w:tc>
        <w:tc>
          <w:tcPr>
            <w:tcW w:w="6860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도복 주짓수(Gi) 전문훈련용 타타미 매트</w:t>
            </w:r>
          </w:p>
        </w:tc>
      </w:tr>
      <w:tr>
        <w:trPr>
          <w:cantSplit/>
        </w:trPr>
        <w:tc>
          <w:tcPr>
            <w:tcW w:w="2381" w:type="dxa"/>
            <w:shd w:val="clear" w:color="auto" w:fill="F4F7F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규격</w:t>
            </w:r>
          </w:p>
        </w:tc>
        <w:tc>
          <w:tcPr>
            <w:tcW w:w="6860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붙임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.</w:t>
            </w:r>
            <w:r>
              <w:rPr>
                <w:rFonts w:ascii="Noto Sans CJK KR" w:eastAsia="Noto Sans CJK KR" w:hAnsi="Noto Sans CJK KR"/>
                <w:sz w:val="17"/>
              </w:rPr>
              <w:t xml:space="preserve"> 물품규격서 참조</w:t>
            </w:r>
          </w:p>
        </w:tc>
      </w:tr>
      <w:tr>
        <w:trPr>
          <w:cantSplit/>
        </w:trPr>
        <w:tc>
          <w:tcPr>
            <w:tcW w:w="2381" w:type="dxa"/>
            <w:shd w:val="clear" w:color="auto" w:fill="F4F7F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수량</w:t>
            </w:r>
          </w:p>
        </w:tc>
        <w:tc>
          <w:tcPr>
            <w:tcW w:w="6860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1조(192장)</w:t>
            </w:r>
          </w:p>
        </w:tc>
      </w:tr>
      <w:tr>
        <w:trPr>
          <w:cantSplit/>
        </w:trPr>
        <w:tc>
          <w:tcPr>
            <w:tcW w:w="2381" w:type="dxa"/>
            <w:shd w:val="clear" w:color="auto" w:fill="F4F7F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기초금액</w:t>
            </w:r>
          </w:p>
        </w:tc>
        <w:tc>
          <w:tcPr>
            <w:tcW w:w="6860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금 48,000,000원(부가가치세 포함)</w:t>
            </w:r>
          </w:p>
        </w:tc>
      </w:tr>
      <w:tr>
        <w:trPr>
          <w:cantSplit/>
        </w:trPr>
        <w:tc>
          <w:tcPr>
            <w:tcW w:w="2381" w:type="dxa"/>
            <w:shd w:val="clear" w:color="auto" w:fill="F4F7F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납품기한</w:t>
            </w:r>
          </w:p>
        </w:tc>
        <w:tc>
          <w:tcPr>
            <w:tcW w:w="6860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계약체결일로부터 30일 이내</w:t>
            </w:r>
          </w:p>
        </w:tc>
      </w:tr>
      <w:tr>
        <w:trPr>
          <w:cantSplit/>
        </w:trPr>
        <w:tc>
          <w:tcPr>
            <w:tcW w:w="2381" w:type="dxa"/>
            <w:shd w:val="clear" w:color="auto" w:fill="F4F7F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납품조건</w:t>
            </w:r>
          </w:p>
        </w:tc>
        <w:tc>
          <w:tcPr>
            <w:tcW w:w="6860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운송, 반입, 조립·배치, 설치, 포장재 반출, 현장정리 및 기타 제반비용 포함</w:t>
            </w:r>
          </w:p>
        </w:tc>
      </w:tr>
      <w:tr>
        <w:trPr>
          <w:cantSplit/>
        </w:trPr>
        <w:tc>
          <w:tcPr>
            <w:tcW w:w="2381" w:type="dxa"/>
            <w:shd w:val="clear" w:color="auto" w:fill="F4F7F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납품장소</w:t>
            </w:r>
          </w:p>
        </w:tc>
        <w:tc>
          <w:tcPr>
            <w:tcW w:w="6860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태백선수촌 예정</w:t>
            </w:r>
            <w:r>
              <w:rPr>
                <w:rFonts w:ascii="Noto Sans CJK KR" w:eastAsia="Noto Sans CJK KR" w:hAnsi="Noto Sans CJK KR"/>
                <w:sz w:val="17"/>
              </w:rPr>
              <w:br/>
            </w:r>
            <w:r>
              <w:rPr>
                <w:rFonts w:ascii="Noto Sans CJK KR" w:eastAsia="Noto Sans CJK KR" w:hAnsi="Noto Sans CJK KR"/>
                <w:sz w:val="17"/>
              </w:rPr>
              <w:t>(훈련 운영계획에 따라 진천선수촌 등 수요기관 지정장소로 변경 가능)</w:t>
            </w:r>
          </w:p>
        </w:tc>
      </w:tr>
    </w:tbl>
    <w:p>
      <w:pPr>
        <w:pStyle w:val="Heading1"/>
        <w:keepNext/>
        <w:spacing w:after="80" w:before="180" w:line="278" w:lineRule="auto"/>
      </w:pPr>
      <w:r>
        <w:rPr>
          <w:rFonts w:ascii="NanumSquare" w:eastAsia="NanumSquare" w:hAnsi="NanumSquare"/>
          <w:b/>
          <w:color w:val="1F4E79"/>
          <w:sz w:val="23"/>
        </w:rPr>
        <w:t>2. 입찰 및 계약방법</w:t>
      </w:r>
    </w:p>
    <w:p>
      <w:pPr>
        <w:pStyle w:val="ListBullet"/>
        <w:spacing w:after="44" w:line="269" w:lineRule="auto"/>
        <w:rPr>
          <w:lang w:eastAsia="ko-KR"/>
          <w:rFonts w:hint="eastAsia"/>
          <w:rtl w:val="off"/>
        </w:rPr>
      </w:pPr>
      <w:r>
        <w:rPr>
          <w:rFonts w:ascii="Noto Sans CJK KR" w:eastAsia="Noto Sans CJK KR" w:hAnsi="Noto Sans CJK KR"/>
          <w:sz w:val="18"/>
        </w:rPr>
        <w:t>본 입찰은 일반경쟁입찰로 하며, 전자입찰 및 총액입찰을 원칙으로 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규격·가격 동시입찰 방식으로 진행하며, 규격 적합자로 판정된 입찰자의 가격입찰만 유효하게 평가합니다.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공동계약은 허용하지 않습니다.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청렴계약제 적용 대상입니다.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본 입찰은 특정 판매업체를 지정하지 않으며, 참고모델과 동등 이상의 제품 제안을 허용합니다.</w:t>
      </w:r>
    </w:p>
    <w:p>
      <w:pPr>
        <w:pStyle w:val="Heading1"/>
        <w:keepNext/>
        <w:spacing w:after="80" w:before="180" w:line="278" w:lineRule="auto"/>
      </w:pPr>
      <w:r>
        <w:rPr>
          <w:rFonts w:ascii="NanumSquare" w:eastAsia="NanumSquare" w:hAnsi="NanumSquare"/>
          <w:b/>
          <w:color w:val="1F4E79"/>
          <w:sz w:val="23"/>
        </w:rPr>
        <w:t>3. 입찰참가자격</w:t>
      </w:r>
    </w:p>
    <w:p>
      <w:pPr>
        <w:spacing w:after="44" w:line="269" w:lineRule="auto"/>
      </w:pPr>
      <w:r>
        <w:rPr>
          <w:rFonts w:ascii="Noto Sans CJK KR" w:eastAsia="Noto Sans CJK KR" w:hAnsi="Noto Sans CJK KR"/>
          <w:sz w:val="18"/>
        </w:rPr>
        <w:t>다음 각 호의 요건을 모두 갖춘 자이어야 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관련 법령 및 수요기관 계약규정에 따라 입찰참가자격 제한을 받지 아니한 자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입찰서 제출마감일 전일까지 국가종합전자조달시스템(나라장터)에 입찰참가자격 등록을 완료한 자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해당 물품의 제조사 또는 적법한 공급권한을 보유한 자로서 정품 공급확약서, 제조사 품질보증서 또는 이에 준하는 유통경로 증빙을 제출할 수 있는 자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납품기한 내 물품의 운송, 반입, 배치 및 설치를 완료할 수 있는 자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부도, 파산, 영업정지 또는 이에 준하는 상태에 있지 아니한 자</w:t>
      </w:r>
    </w:p>
    <w:p>
      <w:pPr>
        <w:pStyle w:val="Heading1"/>
        <w:keepNext/>
        <w:spacing w:after="80" w:before="180" w:line="278" w:lineRule="auto"/>
      </w:pPr>
      <w:r>
        <w:rPr>
          <w:rFonts w:ascii="NanumSquare" w:eastAsia="NanumSquare" w:hAnsi="NanumSquare"/>
          <w:b/>
          <w:color w:val="1F4E79"/>
          <w:sz w:val="23"/>
        </w:rPr>
        <w:t>4. 참고모델 및 동등성 허용</w:t>
      </w:r>
    </w:p>
    <w:p>
      <w:pPr>
        <w:spacing w:after="44" w:line="269" w:lineRule="auto"/>
      </w:pPr>
      <w:r>
        <w:rPr>
          <w:rFonts w:ascii="Noto Sans CJK KR" w:eastAsia="Noto Sans CJK KR" w:hAnsi="Noto Sans CJK KR"/>
          <w:sz w:val="18"/>
        </w:rPr>
        <w:t>가. 참고모델: Zebra Athletics 1.5" Tatami Mat</w:t>
      </w:r>
    </w:p>
    <w:p>
      <w:pPr>
        <w:spacing w:after="44" w:line="269" w:lineRule="auto"/>
      </w:pPr>
      <w:r>
        <w:rPr>
          <w:rFonts w:ascii="Noto Sans CJK KR" w:eastAsia="Noto Sans CJK KR" w:hAnsi="Noto Sans CJK KR"/>
          <w:sz w:val="18"/>
        </w:rPr>
        <w:t>나. 참고모델은 국가대표 도복 주짓수(Gi) 훈련에 필요한 품질 및 성능수준을 설명하기 위한 기준입니다.</w:t>
      </w:r>
    </w:p>
    <w:p>
      <w:pPr>
        <w:spacing w:after="44" w:line="269" w:lineRule="auto"/>
      </w:pPr>
      <w:r>
        <w:rPr>
          <w:rFonts w:ascii="Noto Sans CJK KR" w:eastAsia="Noto Sans CJK KR" w:hAnsi="Noto Sans CJK KR"/>
          <w:sz w:val="18"/>
        </w:rPr>
        <w:t>다. 참가자는 참고모델 또는 물품규격서에 정한 필수요건을 모두 충족하는 동등 이상의 제품을 제안할 수 있습니다.</w:t>
      </w:r>
    </w:p>
    <w:p>
      <w:pPr/>
      <w:r>
        <w:rPr>
          <w:rFonts w:ascii="Noto Sans CJK KR" w:eastAsia="Noto Sans CJK KR" w:hAnsi="Noto Sans CJK KR"/>
          <w:sz w:val="18"/>
          <w:szCs w:val="18"/>
        </w:rPr>
        <w:t xml:space="preserve">라. </w:t>
      </w:r>
      <w:r>
        <w:rPr>
          <w:sz w:val="18"/>
          <w:szCs w:val="18"/>
        </w:rPr>
        <w:t>동등성은 제조사 공식 카탈로그, 기술자료, 시험·안전자료, 필요 시 제출된 표면 또는 완제품 샘플 및 규격심사표를 기준으로 판단하며</w:t>
      </w:r>
      <w:r>
        <w:rPr>
          <w:lang w:eastAsia="ko-KR"/>
          <w:sz w:val="18"/>
          <w:szCs w:val="18"/>
          <w:rtl w:val="off"/>
        </w:rPr>
        <w:t xml:space="preserve"> </w:t>
      </w:r>
      <w:r>
        <w:rPr>
          <w:rFonts w:ascii="Noto Sans CJK KR" w:eastAsia="Noto Sans CJK KR" w:hAnsi="Noto Sans CJK KR"/>
          <w:sz w:val="18"/>
        </w:rPr>
        <w:t>브랜드 인지도나 단순 사용실적만으로 판정하지 않습니다.</w:t>
      </w:r>
    </w:p>
    <w:p>
      <w:pPr>
        <w:spacing w:after="44" w:line="269" w:lineRule="auto"/>
        <w:rPr>
          <w:lang w:eastAsia="ko-KR"/>
          <w:rFonts w:ascii="NanumSquare" w:eastAsia="NanumSquare" w:hAnsi="NanumSquare" w:hint="eastAsia"/>
          <w:b/>
          <w:color w:val="1F4E79"/>
          <w:sz w:val="23"/>
          <w:rtl w:val="off"/>
        </w:rPr>
      </w:pPr>
      <w:r>
        <w:rPr>
          <w:rFonts w:ascii="Noto Sans CJK KR" w:eastAsia="Noto Sans CJK KR" w:hAnsi="Noto Sans CJK KR"/>
          <w:sz w:val="18"/>
        </w:rPr>
        <w:t>마. 제안제품이 참고모델과 다른 경우 동등성 입증책임은 입찰참가자에게 있습니다.</w:t>
      </w:r>
    </w:p>
    <w:p>
      <w:pPr>
        <w:pStyle w:val="Heading1"/>
        <w:keepNext/>
        <w:spacing w:after="80" w:before="180" w:line="278" w:lineRule="auto"/>
      </w:pPr>
      <w:r>
        <w:rPr>
          <w:rFonts w:ascii="NanumSquare" w:eastAsia="NanumSquare" w:hAnsi="NanumSquare"/>
          <w:b/>
          <w:color w:val="1F4E79"/>
          <w:sz w:val="23"/>
        </w:rPr>
        <w:t>5. 규격서류 제출</w:t>
      </w:r>
    </w:p>
    <w:p>
      <w:pPr>
        <w:spacing w:after="44" w:line="269" w:lineRule="auto"/>
      </w:pPr>
      <w:r>
        <w:rPr>
          <w:rFonts w:ascii="Noto Sans CJK KR" w:eastAsia="Noto Sans CJK KR" w:hAnsi="Noto Sans CJK KR"/>
          <w:sz w:val="18"/>
        </w:rPr>
        <w:t>가격입찰서와 별도로 다음 서류를 지정된 기한까지 제출하여야 합니다.</w:t>
      </w:r>
    </w:p>
    <w:p>
      <w:pPr>
        <w:pStyle w:val="ListBullet"/>
        <w:spacing w:after="44" w:line="269" w:lineRule="auto"/>
        <w:rPr>
          <w:lang w:eastAsia="ko-KR"/>
          <w:rFonts w:ascii="Noto Sans CJK KR" w:eastAsia="Noto Sans CJK KR" w:hAnsi="Noto Sans CJK KR" w:hint="eastAsia"/>
          <w:sz w:val="18"/>
          <w:rtl w:val="off"/>
        </w:rPr>
      </w:pPr>
      <w:r>
        <w:rPr>
          <w:lang w:eastAsia="ko-KR"/>
          <w:rFonts w:ascii="Noto Sans CJK KR" w:eastAsia="Noto Sans CJK KR" w:hAnsi="Noto Sans CJK KR"/>
          <w:sz w:val="18"/>
          <w:rtl w:val="off"/>
        </w:rPr>
        <w:t>규격대비표(붙임 서식) - 필수 제출 / 규격제안서(자유 양식) - 선택 제출</w:t>
      </w:r>
    </w:p>
    <w:p>
      <w:pPr/>
      <w:r>
        <w:rPr>
          <w:sz w:val="18"/>
          <w:szCs w:val="18"/>
        </w:rPr>
        <w:t>※ 제안제품의 구조·성능·특징 등에 대한 추가 설명이 필요한 경우 제출할 수 있으며, 제안서의 분량·디자인·구성은 규격심사 평가요소로 하지 않습니다.</w:t>
      </w:r>
      <w:r>
        <w:rPr>
          <w:lang w:eastAsia="ko-KR"/>
          <w:sz w:val="18"/>
          <w:szCs w:val="18"/>
          <w:rtl w:val="off"/>
        </w:rPr>
        <w:t xml:space="preserve"> 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제조사 공식 제품 데이터시트 및 카탈로그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정확한 제조사명, 브랜드명, 모델명 및 제품코드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제품의 크기, 두께, 표면형, 내부재 및 하부재 확인자료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제조사 또는 적법한 공급권자가 발급한 정품 공급확약서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제조사 품질보증서 또는 보증조건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시험·</w:t>
      </w:r>
      <w:r>
        <w:rPr>
          <w:lang w:eastAsia="ko-KR"/>
          <w:rFonts w:ascii="Noto Sans CJK KR" w:eastAsia="Noto Sans CJK KR" w:hAnsi="Noto Sans CJK KR"/>
          <w:sz w:val="18"/>
          <w:rtl w:val="off"/>
        </w:rPr>
        <w:t>안전자료 등 보유한 객관적 증빙자료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필요 시 규격심사 과정에서 타타미 표면 샘플 또는 완제품 샘플 제출을 요구할 수 있으며, 제출방법 및 수량은 대상자에게 별도 안내합니다.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원산지 및 수입·유통경로 증빙자료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기타 수요기관이 규격 적합성 확인을 위해 요구하는 자료</w:t>
      </w:r>
    </w:p>
    <w:p>
      <w:pPr>
        <w:spacing w:after="44" w:line="269" w:lineRule="auto"/>
      </w:pPr>
      <w:r>
        <w:rPr>
          <w:rFonts w:ascii="Noto Sans CJK KR" w:eastAsia="Noto Sans CJK KR" w:hAnsi="Noto Sans CJK KR"/>
          <w:sz w:val="18"/>
        </w:rPr>
        <w:t>제출자료는 납품예정 제품과 동일한 모델에 관한 자료여야 하며, 외국어 자료에는 한글 번역본 또는 주요내용 요약본을 첨부하여야 합니다. 제출자료의 누락 또는 식별 불가능으로 규격 적합성 판단이 곤란한 경우 부적합 처리될 수 있습니다.</w:t>
      </w:r>
    </w:p>
    <w:p>
      <w:pPr>
        <w:pStyle w:val="Heading1"/>
        <w:keepNext/>
        <w:spacing w:after="80" w:before="180" w:line="278" w:lineRule="auto"/>
      </w:pPr>
      <w:r>
        <w:rPr>
          <w:rFonts w:ascii="NanumSquare" w:eastAsia="NanumSquare" w:hAnsi="NanumSquare"/>
          <w:b/>
          <w:color w:val="1F4E79"/>
          <w:sz w:val="23"/>
        </w:rPr>
        <w:t>6. 규격심사</w:t>
      </w:r>
    </w:p>
    <w:p>
      <w:pPr>
        <w:spacing w:after="44" w:line="269" w:lineRule="auto"/>
      </w:pPr>
      <w:r>
        <w:rPr>
          <w:rFonts w:ascii="Noto Sans CJK KR" w:eastAsia="Noto Sans CJK KR" w:hAnsi="Noto Sans CJK KR"/>
          <w:sz w:val="18"/>
        </w:rPr>
        <w:t>가. 규격심사는 수요기관이 구성한 규격심사위원회가 붙임 물품규격서 및 규격심사표에 따라 실시합니다.</w:t>
      </w:r>
    </w:p>
    <w:p>
      <w:pPr>
        <w:spacing w:after="44" w:line="269" w:lineRule="auto"/>
      </w:pPr>
      <w:r>
        <w:rPr>
          <w:rFonts w:ascii="Noto Sans CJK KR" w:eastAsia="Noto Sans CJK KR" w:hAnsi="Noto Sans CJK KR"/>
          <w:sz w:val="18"/>
        </w:rPr>
        <w:t>나. 필수요건 중 하나라도 충족하지 못한 제품은 규격 부적합으로 처리합니다.</w:t>
      </w:r>
    </w:p>
    <w:p>
      <w:pPr>
        <w:spacing w:after="44" w:line="269" w:lineRule="auto"/>
      </w:pPr>
      <w:r>
        <w:rPr>
          <w:rFonts w:ascii="Noto Sans CJK KR" w:eastAsia="Noto Sans CJK KR" w:hAnsi="Noto Sans CJK KR"/>
          <w:sz w:val="18"/>
        </w:rPr>
        <w:t>다. 필요할 경우 제안제품 샘플에 대해 도복 주짓수 훈련 적합성, 표면 마찰감, 복원성, 하부 미끄럼방지 및 마감상태를 확인할 수 있습니다.</w:t>
      </w:r>
    </w:p>
    <w:p>
      <w:pPr>
        <w:spacing w:after="44" w:line="269" w:lineRule="auto"/>
      </w:pPr>
      <w:r>
        <w:rPr>
          <w:rFonts w:ascii="Noto Sans CJK KR" w:eastAsia="Noto Sans CJK KR" w:hAnsi="Noto Sans CJK KR"/>
          <w:sz w:val="18"/>
        </w:rPr>
        <w:t>라. 샘플 확인은 특정 브랜드 선호가 아니라 공고된 평가항목에 따라 동일한 조건에서 실시합니다.</w:t>
      </w:r>
    </w:p>
    <w:p>
      <w:pPr>
        <w:spacing w:after="44" w:line="269" w:lineRule="auto"/>
      </w:pPr>
      <w:r>
        <w:rPr>
          <w:rFonts w:ascii="Noto Sans CJK KR" w:eastAsia="Noto Sans CJK KR" w:hAnsi="Noto Sans CJK KR"/>
          <w:sz w:val="18"/>
        </w:rPr>
        <w:t>마. 제출자료의 진위 또는 제안제품과 제출자료의 동일성이 확인되지 않는 경우 부적합 처리할 수 있습니다. 규격심사 결과는 가격개찰 전 확정합니다.</w:t>
      </w:r>
    </w:p>
    <w:p>
      <w:pPr>
        <w:pStyle w:val="Heading1"/>
        <w:keepNext/>
        <w:spacing w:after="80" w:before="180" w:line="278" w:lineRule="auto"/>
      </w:pPr>
      <w:r>
        <w:rPr>
          <w:rFonts w:ascii="NanumSquare" w:eastAsia="NanumSquare" w:hAnsi="NanumSquare"/>
          <w:b/>
          <w:color w:val="1F4E79"/>
          <w:sz w:val="23"/>
        </w:rPr>
        <w:t>7. 입찰일정</w:t>
      </w:r>
    </w:p>
    <w:tbl>
      <w:tblPr>
        <w:tblStyle w:val="TableGrid"/>
        <w:tblW w:w="0" w:type="auto"/>
        <w:tblBorders>
          <w:top w:val="single" w:sz="5" w:space="0" w:color="AAB7C4"/>
          <w:left w:val="single" w:sz="5" w:space="0" w:color="AAB7C4"/>
          <w:bottom w:val="single" w:sz="5" w:space="0" w:color="AAB7C4"/>
          <w:right w:val="single" w:sz="5" w:space="0" w:color="AAB7C4"/>
          <w:insideH w:val="single" w:sz="5" w:space="0" w:color="AAB7C4"/>
          <w:insideV w:val="single" w:sz="5" w:space="0" w:color="AAB7C4"/>
        </w:tblBorders>
        <w:tblLook w:val="04A0" w:firstRow="1" w:lastRow="0" w:firstColumn="1" w:lastColumn="0" w:noHBand="0" w:noVBand="1"/>
        <w:jc w:val="center"/>
        <w:tblLayout w:type="fixed"/>
      </w:tblPr>
      <w:tblGrid>
        <w:gridCol w:w="4997"/>
        <w:gridCol w:w="4997"/>
      </w:tblGrid>
      <w:tr>
        <w:trPr>
          <w:cantSplit/>
          <w:tblHeader/>
        </w:trPr>
        <w:tc>
          <w:tcPr>
            <w:tcW w:w="2891" w:type="dxa"/>
            <w:shd w:val="clear" w:color="auto" w:fill="1F4E79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FFFFFF"/>
                <w:sz w:val="17"/>
              </w:rPr>
              <w:t>구분</w:t>
            </w:r>
          </w:p>
        </w:tc>
        <w:tc>
          <w:tcPr>
            <w:tcW w:w="6350" w:type="dxa"/>
            <w:shd w:val="clear" w:color="auto" w:fill="1F4E79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FFFFFF"/>
                <w:sz w:val="17"/>
              </w:rPr>
              <w:t>일시 및 장소</w:t>
            </w:r>
          </w:p>
        </w:tc>
      </w:tr>
      <w:tr>
        <w:trPr>
          <w:cantSplit/>
        </w:trPr>
        <w:tc>
          <w:tcPr>
            <w:tcW w:w="2891" w:type="dxa"/>
            <w:shd w:val="clear" w:color="auto" w:fill="F4F7F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공고기간</w:t>
            </w:r>
          </w:p>
        </w:tc>
        <w:tc>
          <w:tcPr>
            <w:tcW w:w="6350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2026. 8. 10.(월) 1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2</w:t>
            </w:r>
            <w:r>
              <w:rPr>
                <w:rFonts w:ascii="Noto Sans CJK KR" w:eastAsia="Noto Sans CJK KR" w:hAnsi="Noto Sans CJK KR"/>
                <w:sz w:val="17"/>
              </w:rPr>
              <w:t>:00 ~ 2026. 8. 1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8</w:t>
            </w:r>
            <w:r>
              <w:rPr>
                <w:rFonts w:ascii="Noto Sans CJK KR" w:eastAsia="Noto Sans CJK KR" w:hAnsi="Noto Sans CJK KR"/>
                <w:sz w:val="17"/>
              </w:rPr>
              <w:t>.(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화</w:t>
            </w:r>
            <w:r>
              <w:rPr>
                <w:rFonts w:ascii="Noto Sans CJK KR" w:eastAsia="Noto Sans CJK KR" w:hAnsi="Noto Sans CJK KR"/>
                <w:sz w:val="17"/>
              </w:rPr>
              <w:t>) 1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8</w:t>
            </w:r>
            <w:r>
              <w:rPr>
                <w:rFonts w:ascii="Noto Sans CJK KR" w:eastAsia="Noto Sans CJK KR" w:hAnsi="Noto Sans CJK KR"/>
                <w:sz w:val="17"/>
              </w:rPr>
              <w:t>:00</w:t>
            </w:r>
          </w:p>
        </w:tc>
      </w:tr>
      <w:tr>
        <w:trPr>
          <w:cantSplit/>
        </w:trPr>
        <w:tc>
          <w:tcPr>
            <w:tcW w:w="2891" w:type="dxa"/>
            <w:shd w:val="clear" w:color="auto" w:fill="F4F7F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규격질의 마감</w:t>
            </w:r>
          </w:p>
        </w:tc>
        <w:tc>
          <w:tcPr>
            <w:tcW w:w="6350" w:type="dxa"/>
            <w:tcMar>
              <w:top w:w="100" w:type="dxa"/>
              <w:bottom w:w="100" w:type="dxa"/>
            </w:tcMar>
            <w:vAlign w:val="center"/>
          </w:tcPr>
          <w:p>
            <w:pPr>
              <w:tabs>
                <w:tab w:val="left" w:pos="1398"/>
              </w:tabs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2026. 8. 1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4</w:t>
            </w:r>
            <w:r>
              <w:rPr>
                <w:rFonts w:ascii="Noto Sans CJK KR" w:eastAsia="Noto Sans CJK KR" w:hAnsi="Noto Sans CJK KR"/>
                <w:sz w:val="17"/>
              </w:rPr>
              <w:t>.(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금</w:t>
            </w:r>
            <w:r>
              <w:rPr>
                <w:rFonts w:ascii="Noto Sans CJK KR" w:eastAsia="Noto Sans CJK KR" w:hAnsi="Noto Sans CJK KR"/>
                <w:sz w:val="17"/>
              </w:rPr>
              <w:t>) 17:00 / 이메일(mail@jjak.or.kr)</w:t>
            </w:r>
          </w:p>
        </w:tc>
      </w:tr>
      <w:tr>
        <w:trPr>
          <w:cantSplit/>
        </w:trPr>
        <w:tc>
          <w:tcPr>
            <w:tcW w:w="2891" w:type="dxa"/>
            <w:shd w:val="clear" w:color="auto" w:fill="F4F7F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전자입찰서 접수개시</w:t>
            </w:r>
          </w:p>
        </w:tc>
        <w:tc>
          <w:tcPr>
            <w:tcW w:w="6350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2026. 8. 10.(월) 1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2</w:t>
            </w:r>
            <w:r>
              <w:rPr>
                <w:rFonts w:ascii="Noto Sans CJK KR" w:eastAsia="Noto Sans CJK KR" w:hAnsi="Noto Sans CJK KR"/>
                <w:sz w:val="17"/>
              </w:rPr>
              <w:t>:00</w:t>
            </w:r>
          </w:p>
        </w:tc>
      </w:tr>
      <w:tr>
        <w:trPr>
          <w:cantSplit/>
        </w:trPr>
        <w:tc>
          <w:tcPr>
            <w:tcW w:w="2891" w:type="dxa"/>
            <w:shd w:val="clear" w:color="auto" w:fill="F4F7F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전자입찰서 접수마감</w:t>
            </w:r>
          </w:p>
        </w:tc>
        <w:tc>
          <w:tcPr>
            <w:tcW w:w="6350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2026. 8. 1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8</w:t>
            </w:r>
            <w:r>
              <w:rPr>
                <w:rFonts w:ascii="Noto Sans CJK KR" w:eastAsia="Noto Sans CJK KR" w:hAnsi="Noto Sans CJK KR"/>
                <w:sz w:val="17"/>
              </w:rPr>
              <w:t>.(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화</w:t>
            </w:r>
            <w:r>
              <w:rPr>
                <w:rFonts w:ascii="Noto Sans CJK KR" w:eastAsia="Noto Sans CJK KR" w:hAnsi="Noto Sans CJK KR"/>
                <w:sz w:val="17"/>
              </w:rPr>
              <w:t>) 1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8</w:t>
            </w:r>
            <w:r>
              <w:rPr>
                <w:rFonts w:ascii="Noto Sans CJK KR" w:eastAsia="Noto Sans CJK KR" w:hAnsi="Noto Sans CJK KR"/>
                <w:sz w:val="17"/>
              </w:rPr>
              <w:t>:00</w:t>
            </w:r>
          </w:p>
        </w:tc>
      </w:tr>
      <w:tr>
        <w:trPr>
          <w:cantSplit/>
        </w:trPr>
        <w:tc>
          <w:tcPr>
            <w:tcW w:w="2891" w:type="dxa"/>
            <w:shd w:val="clear" w:color="auto" w:fill="F4F7F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규격서류 제출마감</w:t>
            </w:r>
          </w:p>
        </w:tc>
        <w:tc>
          <w:tcPr>
            <w:tcW w:w="6350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2026. 8. 1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8</w:t>
            </w:r>
            <w:r>
              <w:rPr>
                <w:rFonts w:ascii="Noto Sans CJK KR" w:eastAsia="Noto Sans CJK KR" w:hAnsi="Noto Sans CJK KR"/>
                <w:sz w:val="17"/>
              </w:rPr>
              <w:t>.(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화</w:t>
            </w:r>
            <w:r>
              <w:rPr>
                <w:rFonts w:ascii="Noto Sans CJK KR" w:eastAsia="Noto Sans CJK KR" w:hAnsi="Noto Sans CJK KR"/>
                <w:sz w:val="17"/>
              </w:rPr>
              <w:t>) 1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8</w:t>
            </w:r>
            <w:r>
              <w:rPr>
                <w:rFonts w:ascii="Noto Sans CJK KR" w:eastAsia="Noto Sans CJK KR" w:hAnsi="Noto Sans CJK KR"/>
                <w:sz w:val="17"/>
              </w:rPr>
              <w:t>:00</w:t>
            </w:r>
          </w:p>
        </w:tc>
      </w:tr>
      <w:tr>
        <w:trPr>
          <w:cantSplit/>
        </w:trPr>
        <w:tc>
          <w:tcPr>
            <w:tcW w:w="2891" w:type="dxa"/>
            <w:shd w:val="clear" w:color="auto" w:fill="F4F7F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개찰일시 및 장소</w:t>
            </w:r>
          </w:p>
        </w:tc>
        <w:tc>
          <w:tcPr>
            <w:tcW w:w="6350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 xml:space="preserve">2026. 8. 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20</w:t>
            </w:r>
            <w:r>
              <w:rPr>
                <w:rFonts w:ascii="Noto Sans CJK KR" w:eastAsia="Noto Sans CJK KR" w:hAnsi="Noto Sans CJK KR"/>
                <w:sz w:val="17"/>
              </w:rPr>
              <w:t>.(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목</w:t>
            </w:r>
            <w:r>
              <w:rPr>
                <w:rFonts w:ascii="Noto Sans CJK KR" w:eastAsia="Noto Sans CJK KR" w:hAnsi="Noto Sans CJK KR"/>
                <w:sz w:val="17"/>
              </w:rPr>
              <w:t>) 11:00 / 국가종합전자조달시스템</w:t>
            </w:r>
            <w:r>
              <w:rPr>
                <w:rFonts w:ascii="Noto Sans CJK KR" w:eastAsia="Noto Sans CJK KR" w:hAnsi="Noto Sans CJK KR"/>
                <w:sz w:val="17"/>
              </w:rPr>
              <w:br/>
            </w:r>
            <w:r>
              <w:rPr>
                <w:rFonts w:ascii="Noto Sans CJK KR" w:eastAsia="Noto Sans CJK KR" w:hAnsi="Noto Sans CJK KR"/>
                <w:sz w:val="17"/>
              </w:rPr>
              <w:t>※ 규격심사 완료 후 개찰</w:t>
            </w:r>
          </w:p>
        </w:tc>
      </w:tr>
      <w:tr>
        <w:trPr>
          <w:cantSplit/>
        </w:trPr>
        <w:tc>
          <w:tcPr>
            <w:tcW w:w="2891" w:type="dxa"/>
            <w:shd w:val="clear" w:color="auto" w:fill="F4F7F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규격심사</w:t>
            </w:r>
          </w:p>
        </w:tc>
        <w:tc>
          <w:tcPr>
            <w:tcW w:w="6350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2026. 8. 1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9</w:t>
            </w:r>
            <w:r>
              <w:rPr>
                <w:rFonts w:ascii="Noto Sans CJK KR" w:eastAsia="Noto Sans CJK KR" w:hAnsi="Noto Sans CJK KR"/>
                <w:sz w:val="17"/>
              </w:rPr>
              <w:t>.(</w:t>
            </w:r>
            <w:r>
              <w:rPr>
                <w:lang w:eastAsia="ko-KR"/>
                <w:rFonts w:ascii="Noto Sans CJK KR" w:eastAsia="Noto Sans CJK KR" w:hAnsi="Noto Sans CJK KR"/>
                <w:sz w:val="17"/>
                <w:rtl w:val="off"/>
              </w:rPr>
              <w:t>수</w:t>
            </w:r>
            <w:r>
              <w:rPr>
                <w:rFonts w:ascii="Noto Sans CJK KR" w:eastAsia="Noto Sans CJK KR" w:hAnsi="Noto Sans CJK KR"/>
                <w:sz w:val="17"/>
              </w:rPr>
              <w:t>) 14:00 예정</w:t>
            </w:r>
          </w:p>
        </w:tc>
      </w:tr>
    </w:tbl>
    <w:p>
      <w:pPr>
        <w:pStyle w:val="Heading1"/>
        <w:keepNext/>
        <w:spacing w:after="80" w:before="180" w:line="278" w:lineRule="auto"/>
      </w:pPr>
      <w:r>
        <w:rPr>
          <w:rFonts w:ascii="NanumSquare" w:eastAsia="NanumSquare" w:hAnsi="NanumSquare"/>
          <w:b/>
          <w:color w:val="1F4E79"/>
          <w:sz w:val="23"/>
        </w:rPr>
        <w:t>8. 예정가격 및 낙찰자 결정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예정가격은 관련 계약규정 및 국가종합전자조달시스템의 예정가격 결정기준에 따라 결정합니다.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규격심사 결과 적합자로 판정된 입찰자 중 예정가격 이하의 유효한 가격으로 입찰한 자 가운데 최저가격 입찰자를 낙찰자로 결정합니다.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동일가격의 최저가 입찰자가 2인 이상인 경우 국가종합전자조달시스템의 동가입찰 낙찰자 자동추첨 방식에 따라 결정합니다.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규격 적합자가 1인인 경우 입찰 성립 여부 및 후속 절차는 관련 법령, 보조금 교부조건 및 수요기관 계약규정에 따라 처리합니다.</w:t>
      </w:r>
    </w:p>
    <w:p>
      <w:pPr>
        <w:pStyle w:val="Heading1"/>
        <w:keepNext/>
        <w:spacing w:after="80" w:before="180" w:line="278" w:lineRule="auto"/>
      </w:pPr>
      <w:r>
        <w:rPr>
          <w:rFonts w:ascii="NanumSquare" w:eastAsia="NanumSquare" w:hAnsi="NanumSquare"/>
          <w:b/>
          <w:color w:val="1F4E79"/>
          <w:sz w:val="23"/>
        </w:rPr>
        <w:t>9. 입찰보증금</w:t>
      </w:r>
    </w:p>
    <w:p>
      <w:pPr>
        <w:spacing w:after="44" w:line="269" w:lineRule="auto"/>
      </w:pPr>
      <w:r>
        <w:rPr>
          <w:rFonts w:ascii="Noto Sans CJK KR" w:eastAsia="Noto Sans CJK KR" w:hAnsi="Noto Sans CJK KR"/>
          <w:sz w:val="18"/>
        </w:rPr>
        <w:t>입찰보증금의 납부 및 귀속은 관련 법령, 전자조달시스템 운영기준 및 수요기관 계약규정에 따릅니다. 입찰보증금 지급각서로 대체하는 경우에도 낙찰자가 정당한 사유 없이 계약을 체결하지 아니하면 보증금 상당액을 납부하여야 합니다.</w:t>
      </w:r>
    </w:p>
    <w:p>
      <w:pPr>
        <w:pStyle w:val="Heading1"/>
        <w:keepNext/>
        <w:spacing w:after="80" w:before="180" w:line="278" w:lineRule="auto"/>
      </w:pPr>
      <w:r>
        <w:rPr>
          <w:rFonts w:ascii="NanumSquare" w:eastAsia="NanumSquare" w:hAnsi="NanumSquare"/>
          <w:b/>
          <w:color w:val="1F4E79"/>
          <w:sz w:val="23"/>
        </w:rPr>
        <w:t>10. 입찰의 무효</w:t>
      </w:r>
    </w:p>
    <w:p>
      <w:pPr>
        <w:spacing w:after="44" w:line="269" w:lineRule="auto"/>
      </w:pPr>
      <w:r>
        <w:rPr>
          <w:rFonts w:ascii="Noto Sans CJK KR" w:eastAsia="Noto Sans CJK KR" w:hAnsi="Noto Sans CJK KR"/>
          <w:sz w:val="18"/>
        </w:rPr>
        <w:t>관련 법령, 전자입찰 특별유의서, 물품구매 입찰유의서 및 본 공고에서 정한 요건을 위반한 입찰은 무효로 처리합니다. 제출서류의 허위·위조·변조 또는 중대한 누락이 확인된 경우에도 동일합니다.</w:t>
      </w:r>
    </w:p>
    <w:p>
      <w:pPr>
        <w:pStyle w:val="Heading1"/>
        <w:keepNext/>
        <w:spacing w:after="80" w:before="180" w:line="278" w:lineRule="auto"/>
      </w:pPr>
      <w:r>
        <w:rPr>
          <w:rFonts w:ascii="NanumSquare" w:eastAsia="NanumSquare" w:hAnsi="NanumSquare"/>
          <w:b/>
          <w:color w:val="1F4E79"/>
          <w:sz w:val="23"/>
        </w:rPr>
        <w:t>11. 계약체결 및 제출서류</w:t>
      </w:r>
    </w:p>
    <w:p>
      <w:pPr>
        <w:spacing w:after="44" w:line="269" w:lineRule="auto"/>
      </w:pPr>
      <w:r>
        <w:rPr>
          <w:rFonts w:ascii="Noto Sans CJK KR" w:eastAsia="Noto Sans CJK KR" w:hAnsi="Noto Sans CJK KR"/>
          <w:sz w:val="18"/>
        </w:rPr>
        <w:t>낙찰자는 낙찰통보일로부터 10일 이내에 계약을 체결하고 다음 서류를 제출하여야 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계약이행보증서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법인등기사항증명서 또는 사업자등록증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인감증명서 및 사용인감계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납품예정 제품의 최종 규격확인서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제조사 또는 공급권자의 정품 공급확약서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제조사 품질보증서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세부 납품·설치계획서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청렴계약 이행서약서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기타 수요기관이 요구하는 계약서류</w:t>
      </w:r>
    </w:p>
    <w:p>
      <w:pPr>
        <w:pStyle w:val="Heading1"/>
        <w:keepNext/>
        <w:spacing w:after="80" w:before="180" w:line="278" w:lineRule="auto"/>
      </w:pPr>
      <w:r>
        <w:rPr>
          <w:rFonts w:ascii="NanumSquare" w:eastAsia="NanumSquare" w:hAnsi="NanumSquare"/>
          <w:b/>
          <w:color w:val="1F4E79"/>
          <w:sz w:val="23"/>
        </w:rPr>
        <w:t>12. 납품 및 검사·검수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모든 제품은 미사용 신품이어야 하며, 규격심사 당시 승인된 제조사, 모델, 제품코드, 표면형 및 재질과 동일하여야 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수량은 1조(192장)로 하며, 색상 및 색상별 수량은 계약체결 전 수요기관과 협의하여 확정합니다.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운송, 반입, 조립·배치, 설치, 포장재 반출 및 현장정리에 필요한 모든 비용은 계약금액에 포함합니다.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납품제품의 치수, 두께, 표면형, 라벨, 모델정보, 외관, 마감, 단차, 벌어짐, 들뜸 및 밀림 여부를 검사합니다.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규격 불일치, 파손, 변형, 오염 또는 기타 하자가 있는 제품은 수요기관이 정한 기한 내 동일 규격의 신품으로 교체하여야 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수요기관은 필요 시 제조사 또는 공급권자에게 정품 및 유통경로를 확인할 수 있습니다.</w:t>
      </w:r>
    </w:p>
    <w:p>
      <w:pPr>
        <w:pStyle w:val="Heading1"/>
        <w:keepNext/>
        <w:spacing w:after="80" w:before="180" w:line="278" w:lineRule="auto"/>
      </w:pPr>
      <w:r>
        <w:rPr>
          <w:rFonts w:ascii="NanumSquare" w:eastAsia="NanumSquare" w:hAnsi="NanumSquare"/>
          <w:b/>
          <w:color w:val="1F4E79"/>
          <w:sz w:val="23"/>
        </w:rPr>
        <w:t>13. 하자담보 및 사후관리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하자담보책임기간은 검수완료일로부터 1년 이상으로 합니다. 제조사 보증기간이 더 긴 경우 제조사 보증조건을 우선 적용합니다.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정상적인 사용 중 발생한 제조상 하자에 대해서는 무상 보수 또는 신품 교체하여야 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하자 발생 통보를 받은 경우 10일 이내에 조치계획을 제출하고 지체 없이 보수 또는 교체 등 필요한 조치를 하여야 합니다.</w:t>
      </w:r>
    </w:p>
    <w:p>
      <w:pPr>
        <w:pStyle w:val="Heading1"/>
        <w:keepNext/>
        <w:spacing w:after="80" w:before="180" w:line="278" w:lineRule="auto"/>
      </w:pPr>
      <w:r>
        <w:rPr>
          <w:rFonts w:ascii="NanumSquare" w:eastAsia="NanumSquare" w:hAnsi="NanumSquare"/>
          <w:b/>
          <w:color w:val="1F4E79"/>
          <w:sz w:val="23"/>
        </w:rPr>
        <w:t>14. 청렴계약 및 안전관리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입찰참가자와 계약상대자는 청렴계약 이행서약서를 제출하고 계약 전 과정에서 부정청탁, 금품·향응 제공 및 담합행위를 하여서는 안 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납품·반입·설치 중 발생하는 안전사고 및 제3자 손해에 대한 책임은 계약상대자에게 있습니다. 다만 수요기관의 귀책사유가 있는 경우는 제외합니다.</w:t>
      </w:r>
    </w:p>
    <w:p>
      <w:pPr>
        <w:pStyle w:val="Heading1"/>
        <w:keepNext/>
        <w:spacing w:after="80" w:before="180" w:line="278" w:lineRule="auto"/>
      </w:pPr>
      <w:r>
        <w:rPr>
          <w:rFonts w:ascii="NanumSquare" w:eastAsia="NanumSquare" w:hAnsi="NanumSquare"/>
          <w:b/>
          <w:color w:val="1F4E79"/>
          <w:sz w:val="23"/>
        </w:rPr>
        <w:t>15. 기타사항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입찰참가자는 공고문, 물품규격서, 과업지시서, 규격심사표 및 전자입찰 관련 규정을 충분히 숙지한 후 입찰하여야 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문서 간 내용이 상충하는 경우 계약서, 입찰공고문, 물품규격서, 과업지시서 순으로 적용합니다. 다만 기술적 성능·재질·시험 및 검수사항은 물품규격서를 우선 적용합니다.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공고내용에 대한 질의는 지정된 질의기간 내 이메일(mail@jjak.or.kr)로만 제출하여야 하며, 구두 또는 전화 문의·답변은 효력이 없습니다.</w:t>
      </w:r>
    </w:p>
    <w:p>
      <w:pPr>
        <w:pStyle w:val="ListBullet"/>
        <w:spacing w:after="44" w:line="269" w:lineRule="auto"/>
      </w:pPr>
      <w:r>
        <w:rPr>
          <w:rFonts w:ascii="Noto Sans CJK KR" w:eastAsia="Noto Sans CJK KR" w:hAnsi="Noto Sans CJK KR"/>
          <w:sz w:val="18"/>
        </w:rPr>
        <w:t>본 공고문에 명시되지 않은 사항은 관련 법령, 보조금 교부조건 및 수요기관 계약규정에 따릅니다.</w:t>
      </w:r>
    </w:p>
    <w:p>
      <w:pPr>
        <w:pStyle w:val="Heading1"/>
        <w:keepNext/>
        <w:pageBreakBefore/>
        <w:spacing w:after="80" w:before="180" w:line="278" w:lineRule="auto"/>
      </w:pPr>
      <w:r>
        <w:rPr>
          <w:rFonts w:ascii="NanumSquare" w:eastAsia="NanumSquare" w:hAnsi="NanumSquare"/>
          <w:b/>
          <w:color w:val="1F4E79"/>
          <w:sz w:val="23"/>
        </w:rPr>
        <w:t>16. 문의처</w:t>
      </w:r>
    </w:p>
    <w:tbl>
      <w:tblPr>
        <w:tblStyle w:val="TableGrid"/>
        <w:tblW w:w="0" w:type="auto"/>
        <w:tblBorders>
          <w:top w:val="single" w:sz="5" w:space="0" w:color="AAB7C4"/>
          <w:left w:val="single" w:sz="5" w:space="0" w:color="AAB7C4"/>
          <w:bottom w:val="single" w:sz="5" w:space="0" w:color="AAB7C4"/>
          <w:right w:val="single" w:sz="5" w:space="0" w:color="AAB7C4"/>
          <w:insideH w:val="single" w:sz="5" w:space="0" w:color="AAB7C4"/>
          <w:insideV w:val="single" w:sz="5" w:space="0" w:color="AAB7C4"/>
        </w:tblBorders>
        <w:tblLook w:val="04A0" w:firstRow="1" w:lastRow="0" w:firstColumn="1" w:lastColumn="0" w:noHBand="0" w:noVBand="1"/>
        <w:jc w:val="center"/>
        <w:tblLayout w:type="fixed"/>
      </w:tblPr>
      <w:tblGrid>
        <w:gridCol w:w="4997"/>
        <w:gridCol w:w="4997"/>
      </w:tblGrid>
      <w:tr>
        <w:trPr/>
        <w:tc>
          <w:tcPr>
            <w:tcW w:w="2324" w:type="dxa"/>
            <w:shd w:val="clear" w:color="auto" w:fill="DCE6F1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입찰·계약 문의</w:t>
            </w:r>
          </w:p>
        </w:tc>
        <w:tc>
          <w:tcPr>
            <w:tcW w:w="6917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대한주짓수회 박선태 과장</w:t>
            </w:r>
            <w:r>
              <w:rPr>
                <w:rFonts w:ascii="Noto Sans CJK KR" w:eastAsia="Noto Sans CJK KR" w:hAnsi="Noto Sans CJK KR"/>
                <w:sz w:val="17"/>
              </w:rPr>
              <w:br/>
            </w:r>
            <w:r>
              <w:rPr>
                <w:rFonts w:ascii="Noto Sans CJK KR" w:eastAsia="Noto Sans CJK KR" w:hAnsi="Noto Sans CJK KR"/>
                <w:sz w:val="17"/>
              </w:rPr>
              <w:t>이메일: mail@jjak.or.kr</w:t>
            </w:r>
            <w:r>
              <w:rPr>
                <w:rFonts w:ascii="Noto Sans CJK KR" w:eastAsia="Noto Sans CJK KR" w:hAnsi="Noto Sans CJK KR"/>
                <w:sz w:val="17"/>
              </w:rPr>
              <w:br/>
            </w:r>
            <w:r>
              <w:rPr>
                <w:rFonts w:ascii="Noto Sans CJK KR" w:eastAsia="Noto Sans CJK KR" w:hAnsi="Noto Sans CJK KR"/>
                <w:sz w:val="17"/>
              </w:rPr>
              <w:t>※ 문의는 이메일로만 가능</w:t>
            </w:r>
          </w:p>
        </w:tc>
      </w:tr>
      <w:tr>
        <w:trPr/>
        <w:tc>
          <w:tcPr>
            <w:tcW w:w="2324" w:type="dxa"/>
            <w:shd w:val="clear" w:color="auto" w:fill="DCE6F1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규격·납품 문의</w:t>
            </w:r>
          </w:p>
        </w:tc>
        <w:tc>
          <w:tcPr>
            <w:tcW w:w="6917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대한주짓수회 박선태 과장</w:t>
            </w:r>
            <w:r>
              <w:rPr>
                <w:rFonts w:ascii="Noto Sans CJK KR" w:eastAsia="Noto Sans CJK KR" w:hAnsi="Noto Sans CJK KR"/>
                <w:sz w:val="17"/>
              </w:rPr>
              <w:br/>
            </w:r>
            <w:r>
              <w:rPr>
                <w:rFonts w:ascii="Noto Sans CJK KR" w:eastAsia="Noto Sans CJK KR" w:hAnsi="Noto Sans CJK KR"/>
                <w:sz w:val="17"/>
              </w:rPr>
              <w:t>이메일: mail@jjak.or.kr</w:t>
            </w:r>
            <w:r>
              <w:rPr>
                <w:rFonts w:ascii="Noto Sans CJK KR" w:eastAsia="Noto Sans CJK KR" w:hAnsi="Noto Sans CJK KR"/>
                <w:sz w:val="17"/>
              </w:rPr>
              <w:br/>
            </w:r>
            <w:r>
              <w:rPr>
                <w:rFonts w:ascii="Noto Sans CJK KR" w:eastAsia="Noto Sans CJK KR" w:hAnsi="Noto Sans CJK KR"/>
                <w:sz w:val="17"/>
              </w:rPr>
              <w:t>※ 문의는 이메일로만 가능</w:t>
            </w:r>
          </w:p>
        </w:tc>
      </w:tr>
      <w:tr>
        <w:trPr/>
        <w:tc>
          <w:tcPr>
            <w:tcW w:w="2324" w:type="dxa"/>
            <w:shd w:val="clear" w:color="auto" w:fill="DCE6F1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anumSquare" w:eastAsia="NanumSquare" w:hAnsi="NanumSquare"/>
                <w:b/>
                <w:color w:val="233746"/>
                <w:sz w:val="16"/>
              </w:rPr>
              <w:t>전자입찰 문의</w:t>
            </w:r>
          </w:p>
        </w:tc>
        <w:tc>
          <w:tcPr>
            <w:tcW w:w="6917" w:type="dxa"/>
            <w:tcMar>
              <w:top w:w="100" w:type="dxa"/>
              <w:bottom w:w="100" w:type="dxa"/>
            </w:tcMar>
            <w:vAlign w:val="center"/>
          </w:tcPr>
          <w:p>
            <w:pPr>
              <w:spacing w:after="0" w:line="252" w:lineRule="auto"/>
            </w:pPr>
            <w:r>
              <w:rPr>
                <w:rFonts w:ascii="Noto Sans CJK KR" w:eastAsia="Noto Sans CJK KR" w:hAnsi="Noto Sans CJK KR"/>
                <w:sz w:val="17"/>
              </w:rPr>
              <w:t>국가종합전자조달시스템 이용안내</w:t>
            </w:r>
          </w:p>
        </w:tc>
      </w:tr>
    </w:tbl>
    <w:p>
      <w:pPr>
        <w:jc w:val="center"/>
        <w:spacing w:after="60" w:before="280" w:line="278" w:lineRule="auto"/>
      </w:pPr>
      <w:r>
        <w:rPr>
          <w:rFonts w:ascii="Noto Sans CJK KR" w:eastAsia="Noto Sans CJK KR" w:hAnsi="Noto Sans CJK KR"/>
          <w:b w:val="0"/>
          <w:color w:val="3C3C3C"/>
          <w:sz w:val="18"/>
        </w:rPr>
        <w:t>2026. 8. 10.(월)</w:t>
      </w:r>
    </w:p>
    <w:p>
      <w:pPr>
        <w:jc w:val="center"/>
        <w:spacing w:after="200" w:line="278" w:lineRule="auto"/>
        <w:rPr>
          <w:lang/>
          <w:rFonts w:ascii="NanumSquare" w:eastAsia="NanumSquare" w:hAnsi="NanumSquare"/>
          <w:b/>
          <w:color w:val="1E1E1E"/>
          <w:sz w:val="21"/>
          <w:rtl w:val="off"/>
        </w:rPr>
      </w:pPr>
      <w:r>
        <w:rPr>
          <w:rFonts w:ascii="NanumSquare" w:eastAsia="NanumSquare" w:hAnsi="NanumSquare"/>
          <w:b/>
          <w:color w:val="1E1E1E"/>
          <w:sz w:val="21"/>
        </w:rPr>
        <w:t>대한주짓수회장</w:t>
      </w:r>
    </w:p>
    <w:p>
      <w:pPr>
        <w:jc w:val="center"/>
        <w:spacing w:after="200" w:line="278" w:lineRule="auto"/>
      </w:pPr>
    </w:p>
    <w:p>
      <w:pPr>
        <w:pStyle w:val="Heading1"/>
        <w:keepNext/>
        <w:spacing w:after="80" w:before="160" w:line="278" w:lineRule="auto"/>
      </w:pPr>
      <w:r>
        <w:rPr>
          <w:rFonts w:ascii="NanumSquare" w:eastAsia="NanumSquare" w:hAnsi="NanumSquare"/>
          <w:b/>
          <w:color w:val="1F4E79"/>
          <w:sz w:val="22"/>
        </w:rPr>
        <w:t>붙임</w:t>
      </w:r>
    </w:p>
    <w:p>
      <w:pPr>
        <w:pStyle w:val="ListBullet"/>
        <w:ind w:leftChars="0" w:left="360"/>
        <w:spacing w:after="44" w:line="269" w:lineRule="auto"/>
        <w:rPr>
          <w:lang/>
          <w:rtl w:val="off"/>
        </w:rPr>
      </w:pPr>
      <w:r>
        <w:rPr>
          <w:lang w:eastAsia="ko-KR"/>
          <w:rFonts w:ascii="Noto Sans CJK KR" w:eastAsia="Noto Sans CJK KR" w:hAnsi="Noto Sans CJK KR"/>
          <w:sz w:val="18"/>
          <w:rtl w:val="off"/>
        </w:rPr>
        <w:t xml:space="preserve">1. </w:t>
      </w:r>
      <w:r>
        <w:rPr>
          <w:rFonts w:ascii="Noto Sans CJK KR" w:eastAsia="Noto Sans CJK KR" w:hAnsi="Noto Sans CJK KR"/>
          <w:sz w:val="18"/>
        </w:rPr>
        <w:t>물품규격서 1부</w:t>
      </w:r>
    </w:p>
    <w:p>
      <w:pPr>
        <w:pStyle w:val="ListBullet"/>
        <w:ind w:leftChars="0" w:left="360"/>
        <w:spacing w:after="44" w:line="269" w:lineRule="auto"/>
        <w:rPr>
          <w:lang/>
          <w:rFonts w:ascii="Noto Sans CJK KR" w:eastAsia="Noto Sans CJK KR" w:hAnsi="Noto Sans CJK KR"/>
          <w:sz w:val="18"/>
          <w:rtl w:val="off"/>
        </w:rPr>
      </w:pPr>
      <w:r>
        <w:rPr>
          <w:lang w:eastAsia="ko-KR"/>
          <w:rFonts w:ascii="Noto Sans CJK KR" w:eastAsia="Noto Sans CJK KR" w:hAnsi="Noto Sans CJK KR"/>
          <w:sz w:val="18"/>
          <w:rtl w:val="off"/>
        </w:rPr>
        <w:t xml:space="preserve">2. </w:t>
      </w:r>
      <w:r>
        <w:rPr>
          <w:rFonts w:ascii="Noto Sans CJK KR" w:eastAsia="Noto Sans CJK KR" w:hAnsi="Noto Sans CJK KR"/>
          <w:sz w:val="18"/>
        </w:rPr>
        <w:t>과업지시서 1부</w:t>
      </w:r>
    </w:p>
    <w:p>
      <w:pPr>
        <w:pStyle w:val="ListBullet"/>
        <w:ind w:leftChars="0" w:left="360"/>
        <w:spacing w:after="44" w:line="269" w:lineRule="auto"/>
        <w:rPr>
          <w:lang w:eastAsia="ko-KR"/>
          <w:rFonts w:ascii="Noto Sans CJK KR" w:eastAsia="Noto Sans CJK KR" w:hAnsi="Noto Sans CJK KR"/>
          <w:sz w:val="18"/>
          <w:rtl w:val="off"/>
        </w:rPr>
      </w:pPr>
      <w:r>
        <w:rPr>
          <w:lang w:eastAsia="ko-KR"/>
          <w:rFonts w:ascii="Noto Sans CJK KR" w:eastAsia="Noto Sans CJK KR" w:hAnsi="Noto Sans CJK KR"/>
          <w:sz w:val="18"/>
          <w:rtl w:val="off"/>
        </w:rPr>
        <w:t>3. 규격대비표 서식 1부</w:t>
      </w:r>
    </w:p>
    <w:p>
      <w:pPr>
        <w:pStyle w:val="ListBullet"/>
        <w:ind w:leftChars="0" w:left="360"/>
        <w:spacing w:after="44" w:line="269" w:lineRule="auto"/>
        <w:rPr>
          <w:lang/>
          <w:rFonts w:ascii="Noto Sans CJK KR" w:eastAsia="Noto Sans CJK KR" w:hAnsi="Noto Sans CJK KR"/>
          <w:sz w:val="18"/>
          <w:rtl w:val="off"/>
        </w:rPr>
      </w:pPr>
      <w:r>
        <w:rPr>
          <w:lang w:eastAsia="ko-KR"/>
          <w:rFonts w:ascii="Noto Sans CJK KR" w:eastAsia="Noto Sans CJK KR" w:hAnsi="Noto Sans CJK KR"/>
          <w:sz w:val="18"/>
          <w:rtl w:val="off"/>
        </w:rPr>
        <w:t>4. 규격심사표 1부</w:t>
      </w:r>
    </w:p>
    <w:p>
      <w:pPr>
        <w:spacing w:after="44" w:line="269" w:lineRule="auto"/>
        <w:rPr>
          <w:lang/>
          <w:rFonts w:ascii="Noto Sans CJK KR" w:eastAsia="Noto Sans CJK KR" w:hAnsi="Noto Sans CJK KR"/>
          <w:sz w:val="18"/>
          <w:rtl w:val="off"/>
        </w:rPr>
      </w:pPr>
    </w:p>
    <w:p>
      <w:pPr>
        <w:spacing w:after="44" w:line="269" w:lineRule="auto"/>
        <w:rPr>
          <w:lang/>
          <w:rtl w:val="off"/>
        </w:rPr>
      </w:pPr>
    </w:p>
    <w:p>
      <w:pPr>
        <w:spacing w:after="44" w:line="269" w:lineRule="auto"/>
        <w:rPr>
          <w:lang/>
          <w:rtl w:val="off"/>
        </w:rPr>
      </w:pPr>
    </w:p>
    <w:p>
      <w:pPr>
        <w:spacing w:after="44" w:line="269" w:lineRule="auto"/>
        <w:rPr>
          <w:lang/>
          <w:rtl w:val="off"/>
        </w:rPr>
      </w:pPr>
    </w:p>
    <w:p>
      <w:pPr>
        <w:spacing w:after="44" w:line="269" w:lineRule="auto"/>
        <w:rPr>
          <w:lang/>
          <w:rtl w:val="off"/>
        </w:rPr>
      </w:pPr>
    </w:p>
    <w:p>
      <w:pPr>
        <w:spacing w:after="44" w:line="269" w:lineRule="auto"/>
        <w:rPr>
          <w:lang/>
          <w:rFonts w:ascii="Noto Sans CJK KR" w:eastAsia="Noto Sans CJK KR" w:hAnsi="Noto Sans CJK KR"/>
          <w:sz w:val="18"/>
          <w:rtl w:val="off"/>
        </w:rPr>
      </w:pPr>
    </w:p>
    <w:p>
      <w:pPr>
        <w:spacing w:after="44" w:line="269" w:lineRule="auto"/>
      </w:pPr>
    </w:p>
    <w:p>
      <w:pPr>
        <w:spacing w:after="60" w:line="278" w:lineRule="auto"/>
        <w:rPr>
          <w:lang/>
          <w:rtl w:val="off"/>
        </w:rPr>
      </w:pPr>
    </w:p>
    <w:p>
      <w:pPr>
        <w:spacing w:after="60" w:line="278" w:lineRule="auto"/>
        <w:rPr>
          <w:lang/>
          <w:rtl w:val="off"/>
        </w:rPr>
      </w:pPr>
    </w:p>
    <w:p>
      <w:pPr>
        <w:spacing w:after="60" w:line="278" w:lineRule="auto"/>
      </w:pPr>
    </w:p>
    <w:sectPr>
      <w:pgSz w:w="12240" w:h="15840"/>
      <w:pgMar w:top="879" w:right="992" w:bottom="850" w:left="992" w:header="369" w:footer="369" w:gutter="0"/>
      <w:cols w:space="720"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NanumSquare">
    <w:charset w:val="00"/>
    <w:notTrueType w:val="false"/>
  </w:font>
  <w:font w:name="Noto Sans CJK KR">
    <w:charset w:val="00"/>
    <w:notTrueType w:val="false"/>
  </w:font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Courier">
    <w:panose1 w:val="02000500FFFFFFFFFFFF"/>
    <w:family w:val="auto"/>
    <w:charset w:val="00"/>
    <w:notTrueType w:val="false"/>
    <w:pitch w:val="variable"/>
    <w:sig w:usb0="00000003" w:usb1="00000000" w:usb2="00000000" w:usb3="00000000" w:csb0="00000001" w:csb1="00000000"/>
  </w:font>
  <w:font w:name="Symbol">
    <w:panose1 w:val="05050102010706020507"/>
    <w:family w:val="auto"/>
    <w:charset w:val="02"/>
    <w:notTrueType w:val="false"/>
    <w:sig w:usb0="00000001" w:usb1="00000001" w:usb2="00000001" w:usb3="00000001" w:csb0="80000000" w:csb1="00000001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Header"/>
      <w:jc w:val="right"/>
    </w:pPr>
    <w:r>
      <w:rPr>
        <w:rFonts w:ascii="Noto Sans CJK KR" w:eastAsia="Noto Sans CJK KR" w:hAnsi="Noto Sans CJK KR"/>
        <w:color w:val="7D8791"/>
        <w:sz w:val="14"/>
      </w:rPr>
      <w:t>대한주짓수회 | 물품구매 입찰공고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ffffff89"/>
    <w:multiLevelType w:val="singleLevel"/>
    <w:tmpl w:val="29761a62"/>
    <w:lvl w:ilvl="0">
      <w:start w:val="1"/>
      <w:numFmt w:val="bullet"/>
      <w:lvlText w:val=""/>
      <w:lvlJc w:val="left"/>
      <w:pStyle w:val="ListBullet"/>
      <w:pPr>
        <w:ind w:left="360" w:hanging="360"/>
        <w:tabs>
          <w:tab w:val="num" w:pos="360"/>
        </w:tabs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3d1effd4"/>
    <w:lvl w:ilvl="0">
      <w:start w:val="1"/>
      <w:numFmt w:val="bullet"/>
      <w:lvlText w:val=""/>
      <w:lvlJc w:val="left"/>
      <w:pStyle w:val="ListBullet2"/>
      <w:pPr>
        <w:ind w:left="720" w:hanging="360"/>
        <w:tabs>
          <w:tab w:val="num" w:pos="720"/>
        </w:tabs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f3eafdec"/>
    <w:lvl w:ilvl="0">
      <w:start w:val="1"/>
      <w:numFmt w:val="bullet"/>
      <w:lvlText w:val=""/>
      <w:lvlJc w:val="left"/>
      <w:pStyle w:val="ListBullet3"/>
      <w:pPr>
        <w:ind w:left="1080" w:hanging="360"/>
        <w:tabs>
          <w:tab w:val="num" w:pos="1080"/>
        </w:tabs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d0a62b40"/>
    <w:lvl w:ilvl="0">
      <w:start w:val="1"/>
      <w:lvlText w:val="%1."/>
      <w:lvlJc w:val="left"/>
      <w:pStyle w:val="ListNumber"/>
      <w:pPr>
        <w:ind w:left="360" w:hanging="360"/>
        <w:tabs>
          <w:tab w:val="num" w:pos="360"/>
        </w:tabs>
      </w:pPr>
    </w:lvl>
  </w:abstractNum>
  <w:abstractNum w:abstractNumId="4">
    <w:nsid w:val="ffffff7f"/>
    <w:multiLevelType w:val="singleLevel"/>
    <w:tmpl w:val="38441652"/>
    <w:lvl w:ilvl="0">
      <w:start w:val="1"/>
      <w:lvlText w:val="%1."/>
      <w:lvlJc w:val="left"/>
      <w:pStyle w:val="ListNumber2"/>
      <w:pPr>
        <w:ind w:left="720" w:hanging="360"/>
        <w:tabs>
          <w:tab w:val="num" w:pos="720"/>
        </w:tabs>
      </w:pPr>
    </w:lvl>
  </w:abstractNum>
  <w:abstractNum w:abstractNumId="5">
    <w:nsid w:val="ffffff7e"/>
    <w:multiLevelType w:val="singleLevel"/>
    <w:tmpl w:val="fb12693a"/>
    <w:lvl w:ilvl="0">
      <w:start w:val="1"/>
      <w:lvlText w:val="%1."/>
      <w:lvlJc w:val="left"/>
      <w:pStyle w:val="ListNumber3"/>
      <w:pPr>
        <w:ind w:left="1080" w:hanging="360"/>
        <w:tabs>
          <w:tab w:val="num" w:pos="108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val="bestFit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ja-JP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53123"/>
    <w:lsdException w:name="toc 2" w:uiPriority="153123"/>
    <w:lsdException w:name="toc 3" w:uiPriority="153123"/>
    <w:lsdException w:name="toc 4" w:uiPriority="153123"/>
    <w:lsdException w:name="toc 5" w:uiPriority="153123"/>
    <w:lsdException w:name="toc 6" w:uiPriority="153123"/>
    <w:lsdException w:name="toc 7" w:uiPriority="153123"/>
    <w:lsdException w:name="toc 8" w:uiPriority="153123"/>
    <w:lsdException w:name="toc 9" w:uiPriority="153123"/>
    <w:lsdException w:name="caption" w:uiPriority="153095" w:qFormat="1"/>
    <w:lsdException w:name="Title" w:semiHidden="0" w:uiPriority="1906" w:unhideWhenUsed="0" w:qFormat="1"/>
    <w:lsdException w:name="Default Paragraph Font" w:uiPriority="1"/>
    <w:lsdException w:name="Subtitle" w:semiHidden="0" w:uiPriority="1907" w:unhideWhenUsed="0" w:qFormat="1"/>
    <w:lsdException w:name="Strong" w:semiHidden="0" w:uiPriority="25606" w:unhideWhenUsed="0" w:qFormat="1"/>
    <w:lsdException w:name="Emphasis" w:semiHidden="0" w:uiPriority="22148" w:unhideWhenUsed="0" w:qFormat="1"/>
    <w:lsdException w:name="Table Grid" w:semiHidden="0" w:uiPriority="1388915" w:unhideWhenUsed="0"/>
    <w:lsdException w:name="Placeholder Text" w:unhideWhenUsed="0"/>
    <w:lsdException w:name="No Spacing" w:semiHidden="0" w:uiPriority="1" w:unhideWhenUsed="0" w:qFormat="1"/>
    <w:lsdException w:name="Light Shading" w:semiHidden="0" w:uiPriority="2163336" w:unhideWhenUsed="0"/>
    <w:lsdException w:name="Light List" w:semiHidden="0" w:uiPriority="2163337" w:unhideWhenUsed="0"/>
    <w:lsdException w:name="Light Grid" w:semiHidden="0" w:uiPriority="2163344" w:unhideWhenUsed="0"/>
    <w:lsdException w:name="Medium Shading 1" w:semiHidden="0" w:uiPriority="2163345" w:unhideWhenUsed="0"/>
    <w:lsdException w:name="Medium Shading 2" w:semiHidden="0" w:uiPriority="19232884" w:unhideWhenUsed="0"/>
    <w:lsdException w:name="Medium List 1" w:semiHidden="0" w:uiPriority="19232885" w:unhideWhenUsed="0"/>
    <w:lsdException w:name="Medium List 2" w:semiHidden="0" w:uiPriority="19337352" w:unhideWhenUsed="0"/>
    <w:lsdException w:name="Medium Grid 1" w:semiHidden="0" w:uiPriority="19337353" w:unhideWhenUsed="0"/>
    <w:lsdException w:name="Medium Grid 2" w:semiHidden="0" w:uiPriority="19337528" w:unhideWhenUsed="0"/>
    <w:lsdException w:name="Medium Grid 3" w:semiHidden="0" w:uiPriority="19337529" w:unhideWhenUsed="0"/>
    <w:lsdException w:name="Dark List" w:semiHidden="0" w:uiPriority="19338886" w:unhideWhenUsed="0"/>
    <w:lsdException w:name="Colorful Shading" w:semiHidden="0" w:uiPriority="19338887" w:unhideWhenUsed="0"/>
    <w:lsdException w:name="Colorful List" w:semiHidden="0" w:uiPriority="19347798" w:unhideWhenUsed="0"/>
    <w:lsdException w:name="Colorful Grid" w:semiHidden="0" w:uiPriority="19347799" w:unhideWhenUsed="0"/>
    <w:lsdException w:name="Light Shading Accent 1" w:semiHidden="0" w:uiPriority="2163336" w:unhideWhenUsed="0"/>
    <w:lsdException w:name="Light List Accent 1" w:semiHidden="0" w:uiPriority="2163337" w:unhideWhenUsed="0"/>
    <w:lsdException w:name="Light Grid Accent 1" w:semiHidden="0" w:uiPriority="2163344" w:unhideWhenUsed="0"/>
    <w:lsdException w:name="Medium Shading 1 Accent 1" w:semiHidden="0" w:uiPriority="2163345" w:unhideWhenUsed="0"/>
    <w:lsdException w:name="Medium Shading 2 Accent 1" w:semiHidden="0" w:uiPriority="19232884" w:unhideWhenUsed="0"/>
    <w:lsdException w:name="Medium List 1 Accent 1" w:semiHidden="0" w:uiPriority="19232885" w:unhideWhenUsed="0"/>
    <w:lsdException w:name="Revision" w:unhideWhenUsed="0"/>
    <w:lsdException w:name="List Paragraph" w:semiHidden="0" w:uiPriority="153094" w:unhideWhenUsed="0" w:qFormat="1"/>
    <w:lsdException w:name="Quote" w:semiHidden="0" w:uiPriority="133193" w:unhideWhenUsed="0" w:qFormat="1"/>
    <w:lsdException w:name="Intense Quote" w:semiHidden="0" w:uiPriority="137064" w:unhideWhenUsed="0" w:qFormat="1"/>
    <w:lsdException w:name="Medium List 2 Accent 1" w:semiHidden="0" w:uiPriority="19337352" w:unhideWhenUsed="0"/>
    <w:lsdException w:name="Medium Grid 1 Accent 1" w:semiHidden="0" w:uiPriority="19337353" w:unhideWhenUsed="0"/>
    <w:lsdException w:name="Medium Grid 2 Accent 1" w:semiHidden="0" w:uiPriority="19337528" w:unhideWhenUsed="0"/>
    <w:lsdException w:name="Medium Grid 3 Accent 1" w:semiHidden="0" w:uiPriority="19337529" w:unhideWhenUsed="0"/>
    <w:lsdException w:name="Dark List Accent 1" w:semiHidden="0" w:uiPriority="19338886" w:unhideWhenUsed="0"/>
    <w:lsdException w:name="Colorful Shading Accent 1" w:semiHidden="0" w:uiPriority="19338887" w:unhideWhenUsed="0"/>
    <w:lsdException w:name="Colorful List Accent 1" w:semiHidden="0" w:uiPriority="19347798" w:unhideWhenUsed="0"/>
    <w:lsdException w:name="Colorful Grid Accent 1" w:semiHidden="0" w:uiPriority="19347799" w:unhideWhenUsed="0"/>
    <w:lsdException w:name="Light Shading Accent 2" w:semiHidden="0" w:uiPriority="2163336" w:unhideWhenUsed="0"/>
    <w:lsdException w:name="Light List Accent 2" w:semiHidden="0" w:uiPriority="2163337" w:unhideWhenUsed="0"/>
    <w:lsdException w:name="Light Grid Accent 2" w:semiHidden="0" w:uiPriority="2163344" w:unhideWhenUsed="0"/>
    <w:lsdException w:name="Medium Shading 1 Accent 2" w:semiHidden="0" w:uiPriority="2163345" w:unhideWhenUsed="0"/>
    <w:lsdException w:name="Medium Shading 2 Accent 2" w:semiHidden="0" w:uiPriority="19232884" w:unhideWhenUsed="0"/>
    <w:lsdException w:name="Medium List 1 Accent 2" w:semiHidden="0" w:uiPriority="19232885" w:unhideWhenUsed="0"/>
    <w:lsdException w:name="Medium List 2 Accent 2" w:semiHidden="0" w:uiPriority="19337352" w:unhideWhenUsed="0"/>
    <w:lsdException w:name="Medium Grid 1 Accent 2" w:semiHidden="0" w:uiPriority="19337353" w:unhideWhenUsed="0"/>
    <w:lsdException w:name="Medium Grid 2 Accent 2" w:semiHidden="0" w:uiPriority="19337528" w:unhideWhenUsed="0"/>
    <w:lsdException w:name="Medium Grid 3 Accent 2" w:semiHidden="0" w:uiPriority="19337529" w:unhideWhenUsed="0"/>
    <w:lsdException w:name="Dark List Accent 2" w:semiHidden="0" w:uiPriority="19338886" w:unhideWhenUsed="0"/>
    <w:lsdException w:name="Colorful Shading Accent 2" w:semiHidden="0" w:uiPriority="19338887" w:unhideWhenUsed="0"/>
    <w:lsdException w:name="Colorful List Accent 2" w:semiHidden="0" w:uiPriority="19347798" w:unhideWhenUsed="0"/>
    <w:lsdException w:name="Colorful Grid Accent 2" w:semiHidden="0" w:uiPriority="19347799" w:unhideWhenUsed="0"/>
    <w:lsdException w:name="Light Shading Accent 3" w:semiHidden="0" w:uiPriority="2163336" w:unhideWhenUsed="0"/>
    <w:lsdException w:name="Light List Accent 3" w:semiHidden="0" w:uiPriority="2163337" w:unhideWhenUsed="0"/>
    <w:lsdException w:name="Light Grid Accent 3" w:semiHidden="0" w:uiPriority="2163344" w:unhideWhenUsed="0"/>
    <w:lsdException w:name="Medium Shading 1 Accent 3" w:semiHidden="0" w:uiPriority="2163345" w:unhideWhenUsed="0"/>
    <w:lsdException w:name="Medium Shading 2 Accent 3" w:semiHidden="0" w:uiPriority="19232884" w:unhideWhenUsed="0"/>
    <w:lsdException w:name="Medium List 1 Accent 3" w:semiHidden="0" w:uiPriority="19232885" w:unhideWhenUsed="0"/>
    <w:lsdException w:name="Medium List 2 Accent 3" w:semiHidden="0" w:uiPriority="19337352" w:unhideWhenUsed="0"/>
    <w:lsdException w:name="Medium Grid 1 Accent 3" w:semiHidden="0" w:uiPriority="19337353" w:unhideWhenUsed="0"/>
    <w:lsdException w:name="Medium Grid 2 Accent 3" w:semiHidden="0" w:uiPriority="19337528" w:unhideWhenUsed="0"/>
    <w:lsdException w:name="Medium Grid 3 Accent 3" w:semiHidden="0" w:uiPriority="19337529" w:unhideWhenUsed="0"/>
    <w:lsdException w:name="Dark List Accent 3" w:semiHidden="0" w:uiPriority="19338886" w:unhideWhenUsed="0"/>
    <w:lsdException w:name="Colorful Shading Accent 3" w:semiHidden="0" w:uiPriority="19338887" w:unhideWhenUsed="0"/>
    <w:lsdException w:name="Colorful List Accent 3" w:semiHidden="0" w:uiPriority="19347798" w:unhideWhenUsed="0"/>
    <w:lsdException w:name="Colorful Grid Accent 3" w:semiHidden="0" w:uiPriority="19347799" w:unhideWhenUsed="0"/>
    <w:lsdException w:name="Light Shading Accent 4" w:semiHidden="0" w:uiPriority="2163336" w:unhideWhenUsed="0"/>
    <w:lsdException w:name="Light List Accent 4" w:semiHidden="0" w:uiPriority="2163337" w:unhideWhenUsed="0"/>
    <w:lsdException w:name="Light Grid Accent 4" w:semiHidden="0" w:uiPriority="2163344" w:unhideWhenUsed="0"/>
    <w:lsdException w:name="Medium Shading 1 Accent 4" w:semiHidden="0" w:uiPriority="2163345" w:unhideWhenUsed="0"/>
    <w:lsdException w:name="Medium Shading 2 Accent 4" w:semiHidden="0" w:uiPriority="19232884" w:unhideWhenUsed="0"/>
    <w:lsdException w:name="Medium List 1 Accent 4" w:semiHidden="0" w:uiPriority="19232885" w:unhideWhenUsed="0"/>
    <w:lsdException w:name="Medium List 2 Accent 4" w:semiHidden="0" w:uiPriority="19337352" w:unhideWhenUsed="0"/>
    <w:lsdException w:name="Medium Grid 1 Accent 4" w:semiHidden="0" w:uiPriority="19337353" w:unhideWhenUsed="0"/>
    <w:lsdException w:name="Medium Grid 2 Accent 4" w:semiHidden="0" w:uiPriority="19337528" w:unhideWhenUsed="0"/>
    <w:lsdException w:name="Medium Grid 3 Accent 4" w:semiHidden="0" w:uiPriority="19337529" w:unhideWhenUsed="0"/>
    <w:lsdException w:name="Dark List Accent 4" w:semiHidden="0" w:uiPriority="19338886" w:unhideWhenUsed="0"/>
    <w:lsdException w:name="Colorful Shading Accent 4" w:semiHidden="0" w:uiPriority="19338887" w:unhideWhenUsed="0"/>
    <w:lsdException w:name="Colorful List Accent 4" w:semiHidden="0" w:uiPriority="19347798" w:unhideWhenUsed="0"/>
    <w:lsdException w:name="Colorful Grid Accent 4" w:semiHidden="0" w:uiPriority="19347799" w:unhideWhenUsed="0"/>
    <w:lsdException w:name="Light Shading Accent 5" w:semiHidden="0" w:uiPriority="2163336" w:unhideWhenUsed="0"/>
    <w:lsdException w:name="Light List Accent 5" w:semiHidden="0" w:uiPriority="2163337" w:unhideWhenUsed="0"/>
    <w:lsdException w:name="Light Grid Accent 5" w:semiHidden="0" w:uiPriority="2163344" w:unhideWhenUsed="0"/>
    <w:lsdException w:name="Medium Shading 1 Accent 5" w:semiHidden="0" w:uiPriority="2163345" w:unhideWhenUsed="0"/>
    <w:lsdException w:name="Medium Shading 2 Accent 5" w:semiHidden="0" w:uiPriority="19232884" w:unhideWhenUsed="0"/>
    <w:lsdException w:name="Medium List 1 Accent 5" w:semiHidden="0" w:uiPriority="19232885" w:unhideWhenUsed="0"/>
    <w:lsdException w:name="Medium List 2 Accent 5" w:semiHidden="0" w:uiPriority="19337352" w:unhideWhenUsed="0"/>
    <w:lsdException w:name="Medium Grid 1 Accent 5" w:semiHidden="0" w:uiPriority="19337353" w:unhideWhenUsed="0"/>
    <w:lsdException w:name="Medium Grid 2 Accent 5" w:semiHidden="0" w:uiPriority="19337528" w:unhideWhenUsed="0"/>
    <w:lsdException w:name="Medium Grid 3 Accent 5" w:semiHidden="0" w:uiPriority="19337529" w:unhideWhenUsed="0"/>
    <w:lsdException w:name="Dark List Accent 5" w:semiHidden="0" w:uiPriority="19338886" w:unhideWhenUsed="0"/>
    <w:lsdException w:name="Colorful Shading Accent 5" w:semiHidden="0" w:uiPriority="19338887" w:unhideWhenUsed="0"/>
    <w:lsdException w:name="Colorful List Accent 5" w:semiHidden="0" w:uiPriority="19347798" w:unhideWhenUsed="0"/>
    <w:lsdException w:name="Colorful Grid Accent 5" w:semiHidden="0" w:uiPriority="19347799" w:unhideWhenUsed="0"/>
    <w:lsdException w:name="Light Shading Accent 6" w:semiHidden="0" w:uiPriority="2163336" w:unhideWhenUsed="0"/>
    <w:lsdException w:name="Light List Accent 6" w:semiHidden="0" w:uiPriority="2163337" w:unhideWhenUsed="0"/>
    <w:lsdException w:name="Light Grid Accent 6" w:semiHidden="0" w:uiPriority="2163344" w:unhideWhenUsed="0"/>
    <w:lsdException w:name="Medium Shading 1 Accent 6" w:semiHidden="0" w:uiPriority="2163345" w:unhideWhenUsed="0"/>
    <w:lsdException w:name="Medium Shading 2 Accent 6" w:semiHidden="0" w:uiPriority="19232884" w:unhideWhenUsed="0"/>
    <w:lsdException w:name="Medium List 1 Accent 6" w:semiHidden="0" w:uiPriority="19232885" w:unhideWhenUsed="0"/>
    <w:lsdException w:name="Medium List 2 Accent 6" w:semiHidden="0" w:uiPriority="19337352" w:unhideWhenUsed="0"/>
    <w:lsdException w:name="Medium Grid 1 Accent 6" w:semiHidden="0" w:uiPriority="19337353" w:unhideWhenUsed="0"/>
    <w:lsdException w:name="Medium Grid 2 Accent 6" w:semiHidden="0" w:uiPriority="19337528" w:unhideWhenUsed="0"/>
    <w:lsdException w:name="Medium Grid 3 Accent 6" w:semiHidden="0" w:uiPriority="19337529" w:unhideWhenUsed="0"/>
    <w:lsdException w:name="Dark List Accent 6" w:semiHidden="0" w:uiPriority="19338886" w:unhideWhenUsed="0"/>
    <w:lsdException w:name="Colorful Shading Accent 6" w:semiHidden="0" w:uiPriority="19338887" w:unhideWhenUsed="0"/>
    <w:lsdException w:name="Colorful List Accent 6" w:semiHidden="0" w:uiPriority="19347798" w:unhideWhenUsed="0"/>
    <w:lsdException w:name="Colorful Grid Accent 6" w:semiHidden="0" w:uiPriority="19347799" w:unhideWhenUsed="0"/>
    <w:lsdException w:name="Subtle Emphasis" w:semiHidden="0" w:uiPriority="6409" w:unhideWhenUsed="0" w:qFormat="1"/>
    <w:lsdException w:name="Intense Emphasis" w:semiHidden="0" w:uiPriority="22149" w:unhideWhenUsed="0" w:qFormat="1"/>
    <w:lsdException w:name="Subtle Reference" w:semiHidden="0" w:uiPriority="137065" w:unhideWhenUsed="0" w:qFormat="1"/>
    <w:lsdException w:name="Intense Reference" w:semiHidden="0" w:uiPriority="139592" w:unhideWhenUsed="0" w:qFormat="1"/>
    <w:lsdException w:name="Book Title" w:semiHidden="0" w:uiPriority="139593" w:unhideWhenUsed="0" w:qFormat="1"/>
    <w:lsdException w:name="Bibliography" w:uiPriority="153097"/>
    <w:lsdException w:name="TOC Heading" w:uiPriority="153123" w:qFormat="1"/>
  </w:latentStyles>
  <w:style w:type="paragraph" w:default="1" w:styleId="Normal">
    <w:name w:val="Normal"/>
    <w:qFormat/>
    <w:pPr>
      <w:spacing w:after="80" w:line="283" w:lineRule="auto"/>
    </w:pPr>
    <w:rPr>
      <w:rFonts w:ascii="맑은 고딕" w:eastAsia="맑은 고딕" w:hAnsi="맑은 고딕"/>
      <w:sz w:val="21"/>
    </w:rPr>
  </w:style>
  <w:style w:type="paragraph" w:customStyle="1" w:styleId="Header">
    <w:name w:val="header"/>
    <w:uiPriority w:val="99"/>
    <w:basedOn w:val="Normal"/>
    <w:link w:val="Head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uiPriority w:val="99"/>
    <w:basedOn w:val="DefaultParagraphFont"/>
    <w:link w:val="Header"/>
  </w:style>
  <w:style w:type="paragraph" w:customStyle="1" w:styleId="Footer">
    <w:name w:val="footer"/>
    <w:uiPriority w:val="99"/>
    <w:basedOn w:val="Normal"/>
    <w:link w:val="Foot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uiPriority w:val="99"/>
    <w:basedOn w:val="DefaultParagraphFont"/>
    <w:link w:val="Footer"/>
  </w:style>
  <w:style w:type="paragraph" w:styleId="Heading1">
    <w:name w:val="heading 1"/>
    <w:uiPriority w:val="9"/>
    <w:basedOn w:val="Normal"/>
    <w:next w:val="Normal"/>
    <w:link w:val="Heading1Char"/>
    <w:qFormat/>
    <w:pPr>
      <w:keepNext/>
      <w:keepLines/>
      <w:outlineLvl w:val="0"/>
      <w:spacing w:after="100" w:before="200"/>
    </w:pPr>
    <w:rPr>
      <w:rFonts w:asciiTheme="majorHAnsi" w:eastAsiaTheme="majorEastAsia" w:hAnsiTheme="majorHAnsi" w:cstheme="majorBidi"/>
      <w:b/>
      <w:bCs/>
      <w:color w:val="1F4E79"/>
      <w:sz w:val="28"/>
      <w:szCs w:val="28"/>
    </w:rPr>
  </w:style>
  <w:style w:type="paragraph" w:styleId="Heading2">
    <w:name w:val="heading 2"/>
    <w:uiPriority w:val="9"/>
    <w:basedOn w:val="Normal"/>
    <w:next w:val="Normal"/>
    <w:link w:val="Heading2Char"/>
    <w:qFormat/>
    <w:unhideWhenUsed/>
    <w:pPr>
      <w:keepNext/>
      <w:keepLines/>
      <w:outlineLvl w:val="1"/>
      <w:spacing w:after="100" w:before="200"/>
    </w:pPr>
    <w:rPr>
      <w:rFonts w:asciiTheme="majorHAnsi" w:eastAsiaTheme="majorEastAsia" w:hAnsiTheme="majorHAnsi" w:cstheme="majorBidi"/>
      <w:b/>
      <w:bCs/>
      <w:color w:val="2F5597"/>
      <w:sz w:val="23"/>
      <w:szCs w:val="26"/>
    </w:rPr>
  </w:style>
  <w:style w:type="paragraph" w:styleId="Heading3">
    <w:name w:val="heading 3"/>
    <w:uiPriority w:val="9"/>
    <w:basedOn w:val="Normal"/>
    <w:next w:val="Normal"/>
    <w:link w:val="Heading3Char"/>
    <w:qFormat/>
    <w:unhideWhenUsed/>
    <w:pPr>
      <w:keepNext/>
      <w:keepLines/>
      <w:outlineLvl w:val="2"/>
      <w:spacing w:after="0" w:before="200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Heading4">
    <w:name w:val="heading 4"/>
    <w:uiPriority w:val="9"/>
    <w:basedOn w:val="Normal"/>
    <w:next w:val="Normal"/>
    <w:link w:val="Heading4Char"/>
    <w:qFormat/>
    <w:semiHidden/>
    <w:unhideWhenUsed/>
    <w:pPr>
      <w:keepNext/>
      <w:keepLines/>
      <w:outlineLvl w:val="3"/>
      <w:spacing w:after="0" w:before="200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Heading5">
    <w:name w:val="heading 5"/>
    <w:uiPriority w:val="9"/>
    <w:basedOn w:val="Normal"/>
    <w:next w:val="Normal"/>
    <w:link w:val="Heading5Char"/>
    <w:qFormat/>
    <w:semiHidden/>
    <w:unhideWhenUsed/>
    <w:pPr>
      <w:keepNext/>
      <w:keepLines/>
      <w:outlineLvl w:val="4"/>
      <w:spacing w:after="0" w:before="200"/>
    </w:pPr>
    <w:rPr>
      <w:rFonts w:asciiTheme="majorHAnsi" w:eastAsiaTheme="majorEastAsia" w:hAnsiTheme="majorHAnsi" w:cstheme="majorBidi"/>
      <w:color w:val="244061"/>
    </w:rPr>
  </w:style>
  <w:style w:type="paragraph" w:styleId="Heading6">
    <w:name w:val="heading 6"/>
    <w:uiPriority w:val="9"/>
    <w:basedOn w:val="Normal"/>
    <w:next w:val="Normal"/>
    <w:link w:val="Heading6Char"/>
    <w:qFormat/>
    <w:semiHidden/>
    <w:unhideWhenUsed/>
    <w:pPr>
      <w:keepNext/>
      <w:keepLines/>
      <w:outlineLvl w:val="5"/>
      <w:spacing w:after="0" w:before="200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Heading7">
    <w:name w:val="heading 7"/>
    <w:uiPriority w:val="9"/>
    <w:basedOn w:val="Normal"/>
    <w:next w:val="Normal"/>
    <w:link w:val="Heading7Char"/>
    <w:qFormat/>
    <w:semiHidden/>
    <w:unhideWhenUsed/>
    <w:pPr>
      <w:keepNext/>
      <w:keepLines/>
      <w:outlineLvl w:val="6"/>
      <w:spacing w:after="0" w:before="200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Heading8">
    <w:name w:val="heading 8"/>
    <w:uiPriority w:val="9"/>
    <w:basedOn w:val="Normal"/>
    <w:next w:val="Normal"/>
    <w:link w:val="Heading8Char"/>
    <w:qFormat/>
    <w:semiHidden/>
    <w:unhideWhenUsed/>
    <w:pPr>
      <w:keepNext/>
      <w:keepLines/>
      <w:outlineLvl w:val="7"/>
      <w:spacing w:after="0" w:before="200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Heading9">
    <w:name w:val="heading 9"/>
    <w:uiPriority w:val="9"/>
    <w:basedOn w:val="Normal"/>
    <w:next w:val="Normal"/>
    <w:link w:val="Heading9Char"/>
    <w:qFormat/>
    <w:semiHidden/>
    <w:unhideWhenUsed/>
    <w:pPr>
      <w:keepNext/>
      <w:keepLines/>
      <w:outlineLvl w:val="8"/>
      <w:spacing w:after="0" w:before="200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uiPriority w:val="9"/>
    <w:basedOn w:val="DefaultParagraphFont"/>
    <w:link w:val="Heading1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Heading2Char">
    <w:name w:val="Heading 2 Char"/>
    <w:uiPriority w:val="9"/>
    <w:basedOn w:val="DefaultParagraphFont"/>
    <w:link w:val="Heading2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Heading3Char">
    <w:name w:val="Heading 3 Char"/>
    <w:uiPriority w:val="9"/>
    <w:basedOn w:val="DefaultParagraphFont"/>
    <w:link w:val="Heading3"/>
    <w:rPr>
      <w:rFonts w:asciiTheme="majorHAnsi" w:eastAsiaTheme="majorEastAsia" w:hAnsiTheme="majorHAnsi" w:cstheme="majorBidi"/>
      <w:b/>
      <w:bCs/>
      <w:color w:val="4F81BD"/>
    </w:rPr>
  </w:style>
  <w:style w:type="paragraph" w:styleId="Title">
    <w:name w:val="Title"/>
    <w:uiPriority w:val="10"/>
    <w:basedOn w:val="Normal"/>
    <w:next w:val="Normal"/>
    <w:link w:val="TitleChar"/>
    <w:qFormat/>
    <w:pPr>
      <w:contextualSpacing/>
      <w:pBdr>
        <w:bottom w:val="single" w:sz="8" w:space="4" w:color="4F81BD" w:themeColor="accent1"/>
      </w:pBdr>
      <w:spacing w:after="100" w:before="0" w:line="240" w:lineRule="auto"/>
    </w:pPr>
    <w:rPr>
      <w:rFonts w:asciiTheme="majorHAnsi" w:eastAsiaTheme="majorEastAsia" w:hAnsiTheme="majorHAnsi" w:cstheme="majorBidi"/>
      <w:b/>
      <w:color w:val="1F4E79"/>
      <w:sz w:val="38"/>
      <w:szCs w:val="52"/>
      <w:kern w:val="28"/>
      <w:spacing w:val="5"/>
    </w:rPr>
  </w:style>
  <w:style w:type="character" w:customStyle="1" w:styleId="TitleChar">
    <w:name w:val="Title Char"/>
    <w:uiPriority w:val="10"/>
    <w:basedOn w:val="DefaultParagraphFont"/>
    <w:link w:val="Title"/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paragraph" w:styleId="Subtitle">
    <w:name w:val="Subtitle"/>
    <w:uiPriority w:val="11"/>
    <w:basedOn w:val="Normal"/>
    <w:next w:val="Normal"/>
    <w:link w:val="SubtitleChar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character" w:customStyle="1" w:styleId="SubtitleChar">
    <w:name w:val="Subtitle Char"/>
    <w:uiPriority w:val="11"/>
    <w:basedOn w:val="DefaultParagraphFont"/>
    <w:link w:val="Subtitle"/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paragraph" w:styleId="ListParagraph">
    <w:name w:val="List Paragraph"/>
    <w:uiPriority w:val="34"/>
    <w:basedOn w:val="Normal"/>
    <w:qFormat/>
    <w:pPr>
      <w:ind w:left="720"/>
      <w:contextualSpacing/>
    </w:pPr>
  </w:style>
  <w:style w:type="paragraph" w:customStyle="1" w:styleId="BodyText">
    <w:name w:val="Body Text"/>
    <w:uiPriority w:val="99"/>
    <w:basedOn w:val="Normal"/>
    <w:link w:val="BodyTextChar"/>
    <w:unhideWhenUsed/>
    <w:pPr>
      <w:spacing w:after="120"/>
    </w:pPr>
  </w:style>
  <w:style w:type="character" w:customStyle="1" w:styleId="BodyTextChar">
    <w:name w:val="Body Text Char"/>
    <w:uiPriority w:val="99"/>
    <w:basedOn w:val="DefaultParagraphFont"/>
    <w:link w:val="BodyText"/>
  </w:style>
  <w:style w:type="paragraph" w:customStyle="1" w:styleId="BodyText2">
    <w:name w:val="Body Text 2"/>
    <w:uiPriority w:val="99"/>
    <w:basedOn w:val="Normal"/>
    <w:link w:val="BodyText2Char"/>
    <w:unhideWhenUsed/>
    <w:pPr>
      <w:spacing w:after="120" w:line="480" w:lineRule="auto"/>
    </w:pPr>
  </w:style>
  <w:style w:type="character" w:customStyle="1" w:styleId="BodyText2Char">
    <w:name w:val="Body Text 2 Char"/>
    <w:uiPriority w:val="99"/>
    <w:basedOn w:val="DefaultParagraphFont"/>
    <w:link w:val="BodyText2"/>
  </w:style>
  <w:style w:type="paragraph" w:customStyle="1" w:styleId="BodyText3">
    <w:name w:val="Body Text 3"/>
    <w:uiPriority w:val="99"/>
    <w:basedOn w:val="Normal"/>
    <w:link w:val="BodyText3Char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uiPriority w:val="99"/>
    <w:basedOn w:val="DefaultParagraphFont"/>
    <w:link w:val="BodyText3"/>
    <w:rPr>
      <w:sz w:val="16"/>
      <w:szCs w:val="16"/>
    </w:rPr>
  </w:style>
  <w:style w:type="paragraph" w:customStyle="1" w:styleId="List">
    <w:name w:val="List"/>
    <w:uiPriority w:val="99"/>
    <w:basedOn w:val="Normal"/>
    <w:unhideWhenUsed/>
    <w:pPr>
      <w:ind w:left="360" w:hanging="360"/>
      <w:contextualSpacing/>
    </w:pPr>
  </w:style>
  <w:style w:type="paragraph" w:customStyle="1" w:styleId="List2">
    <w:name w:val="List 2"/>
    <w:uiPriority w:val="99"/>
    <w:basedOn w:val="Normal"/>
    <w:unhideWhenUsed/>
    <w:pPr>
      <w:ind w:left="720" w:hanging="360"/>
      <w:contextualSpacing/>
    </w:pPr>
  </w:style>
  <w:style w:type="paragraph" w:customStyle="1" w:styleId="List3">
    <w:name w:val="List 3"/>
    <w:uiPriority w:val="99"/>
    <w:basedOn w:val="Normal"/>
    <w:unhideWhenUsed/>
    <w:pPr>
      <w:ind w:left="1080" w:hanging="360"/>
      <w:contextualSpacing/>
    </w:pPr>
  </w:style>
  <w:style w:type="paragraph" w:customStyle="1" w:styleId="ListBullet">
    <w:name w:val="List Bullet"/>
    <w:uiPriority w:val="99"/>
    <w:basedOn w:val="Normal"/>
    <w:unhideWhenUsed/>
    <w:pPr>
      <w:contextualSpacing/>
      <w:numPr>
        <w:numId w:val="1"/>
      </w:numPr>
    </w:pPr>
  </w:style>
  <w:style w:type="paragraph" w:customStyle="1" w:styleId="ListBullet2">
    <w:name w:val="List Bullet 2"/>
    <w:uiPriority w:val="99"/>
    <w:basedOn w:val="Normal"/>
    <w:unhideWhenUsed/>
    <w:pPr>
      <w:contextualSpacing/>
      <w:numPr>
        <w:numId w:val="2"/>
      </w:numPr>
    </w:pPr>
  </w:style>
  <w:style w:type="paragraph" w:customStyle="1" w:styleId="ListBullet3">
    <w:name w:val="List Bullet 3"/>
    <w:uiPriority w:val="99"/>
    <w:basedOn w:val="Normal"/>
    <w:unhideWhenUsed/>
    <w:pPr>
      <w:contextualSpacing/>
      <w:numPr>
        <w:numId w:val="3"/>
      </w:numPr>
    </w:pPr>
  </w:style>
  <w:style w:type="paragraph" w:customStyle="1" w:styleId="ListNumber">
    <w:name w:val="List Number"/>
    <w:uiPriority w:val="99"/>
    <w:basedOn w:val="Normal"/>
    <w:unhideWhenUsed/>
    <w:pPr>
      <w:contextualSpacing/>
      <w:numPr>
        <w:numId w:val="4"/>
      </w:numPr>
    </w:pPr>
  </w:style>
  <w:style w:type="paragraph" w:customStyle="1" w:styleId="ListNumber2">
    <w:name w:val="List Number 2"/>
    <w:uiPriority w:val="99"/>
    <w:basedOn w:val="Normal"/>
    <w:unhideWhenUsed/>
    <w:pPr>
      <w:contextualSpacing/>
      <w:numPr>
        <w:numId w:val="5"/>
      </w:numPr>
    </w:pPr>
  </w:style>
  <w:style w:type="paragraph" w:customStyle="1" w:styleId="ListNumber3">
    <w:name w:val="List Number 3"/>
    <w:uiPriority w:val="99"/>
    <w:basedOn w:val="Normal"/>
    <w:unhideWhenUsed/>
    <w:pPr>
      <w:contextualSpacing/>
      <w:numPr>
        <w:numId w:val="6"/>
      </w:numPr>
    </w:pPr>
  </w:style>
  <w:style w:type="paragraph" w:customStyle="1" w:styleId="ListContinue">
    <w:name w:val="List Continue"/>
    <w:uiPriority w:val="99"/>
    <w:basedOn w:val="Normal"/>
    <w:unhideWhenUsed/>
    <w:pPr>
      <w:ind w:left="360"/>
      <w:contextualSpacing/>
      <w:spacing w:after="120"/>
    </w:pPr>
  </w:style>
  <w:style w:type="paragraph" w:customStyle="1" w:styleId="ListContinue2">
    <w:name w:val="List Continue 2"/>
    <w:uiPriority w:val="99"/>
    <w:basedOn w:val="Normal"/>
    <w:unhideWhenUsed/>
    <w:pPr>
      <w:ind w:left="720"/>
      <w:contextualSpacing/>
      <w:spacing w:after="120"/>
    </w:pPr>
  </w:style>
  <w:style w:type="paragraph" w:customStyle="1" w:styleId="ListContinue3">
    <w:name w:val="List Continue 3"/>
    <w:uiPriority w:val="99"/>
    <w:basedOn w:val="Normal"/>
    <w:unhideWhenUsed/>
    <w:pPr>
      <w:ind w:left="1080"/>
      <w:contextualSpacing/>
      <w:spacing w:after="120"/>
    </w:pPr>
  </w:style>
  <w:style w:type="paragraph" w:customStyle="1" w:styleId="MacroText">
    <w:name w:val="macro"/>
    <w:uiPriority w:val="99"/>
    <w:link w:val="MacroTextChar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uiPriority w:val="99"/>
    <w:basedOn w:val="DefaultParagraphFont"/>
    <w:link w:val="MacroText"/>
    <w:rPr>
      <w:rFonts w:ascii="Courier" w:hAnsi="Courier"/>
      <w:sz w:val="20"/>
      <w:szCs w:val="20"/>
    </w:rPr>
  </w:style>
  <w:style w:type="paragraph" w:styleId="Quote">
    <w:name w:val="Quote"/>
    <w:uiPriority w:val="29"/>
    <w:basedOn w:val="Normal"/>
    <w:next w:val="Normal"/>
    <w:link w:val="QuoteChar"/>
    <w:qFormat/>
    <w:rPr>
      <w:i/>
      <w:iCs/>
      <w:color w:val="000000"/>
    </w:rPr>
  </w:style>
  <w:style w:type="character" w:customStyle="1" w:styleId="QuoteChar">
    <w:name w:val="Quote Char"/>
    <w:uiPriority w:val="29"/>
    <w:basedOn w:val="DefaultParagraphFont"/>
    <w:link w:val="Quote"/>
    <w:rPr>
      <w:i/>
      <w:iCs/>
      <w:color w:val="000000"/>
    </w:rPr>
  </w:style>
  <w:style w:type="character" w:customStyle="1" w:styleId="Heading4Char">
    <w:name w:val="Heading 4 Char"/>
    <w:uiPriority w:val="9"/>
    <w:basedOn w:val="DefaultParagraphFont"/>
    <w:link w:val="Heading4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Heading5Char">
    <w:name w:val="Heading 5 Char"/>
    <w:uiPriority w:val="9"/>
    <w:basedOn w:val="DefaultParagraphFont"/>
    <w:link w:val="Heading5"/>
    <w:semiHidden/>
    <w:rPr>
      <w:rFonts w:asciiTheme="majorHAnsi" w:eastAsiaTheme="majorEastAsia" w:hAnsiTheme="majorHAnsi" w:cstheme="majorBidi"/>
      <w:color w:val="244061"/>
    </w:rPr>
  </w:style>
  <w:style w:type="character" w:customStyle="1" w:styleId="Heading6Char">
    <w:name w:val="Heading 6 Char"/>
    <w:uiPriority w:val="9"/>
    <w:basedOn w:val="DefaultParagraphFont"/>
    <w:link w:val="Heading6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Heading7Char">
    <w:name w:val="Heading 7 Char"/>
    <w:uiPriority w:val="9"/>
    <w:basedOn w:val="DefaultParagraphFont"/>
    <w:link w:val="Heading7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Heading8Char">
    <w:name w:val="Heading 8 Char"/>
    <w:uiPriority w:val="9"/>
    <w:basedOn w:val="DefaultParagraphFont"/>
    <w:link w:val="Heading8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Heading9Char">
    <w:name w:val="Heading 9 Char"/>
    <w:uiPriority w:val="9"/>
    <w:basedOn w:val="DefaultParagraphFont"/>
    <w:link w:val="Heading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Caption">
    <w:name w:val="caption"/>
    <w:uiPriority w:val="35"/>
    <w:basedOn w:val="Normal"/>
    <w:next w:val="Normal"/>
    <w:qFormat/>
    <w:semiHidden/>
    <w:unhideWhenUsed/>
    <w:pPr>
      <w:spacing w:line="240" w:lineRule="auto"/>
    </w:pPr>
    <w:rPr>
      <w:b/>
      <w:bCs/>
      <w:color w:val="4F81BD"/>
      <w:sz w:val="18"/>
      <w:szCs w:val="18"/>
    </w:rPr>
  </w:style>
  <w:style w:type="character" w:styleId="Strong">
    <w:name w:val="Strong"/>
    <w:uiPriority w:val="22"/>
    <w:basedOn w:val="DefaultParagraphFont"/>
    <w:qFormat/>
    <w:rPr>
      <w:b/>
      <w:bCs/>
    </w:rPr>
  </w:style>
  <w:style w:type="character" w:styleId="Emphasis">
    <w:name w:val="Emphasis"/>
    <w:uiPriority w:val="20"/>
    <w:basedOn w:val="DefaultParagraphFont"/>
    <w:qFormat/>
    <w:rPr>
      <w:i/>
      <w:iCs/>
    </w:rPr>
  </w:style>
  <w:style w:type="paragraph" w:styleId="IntenseQuote">
    <w:name w:val="Intense Quote"/>
    <w:uiPriority w:val="30"/>
    <w:basedOn w:val="Normal"/>
    <w:next w:val="Normal"/>
    <w:link w:val="IntenseQuoteChar"/>
    <w:qFormat/>
    <w:pPr>
      <w:ind w:left="936" w:right="936"/>
      <w:pBdr>
        <w:bottom w:val="single" w:sz="4" w:space="4" w:color="4F81BD" w:themeColor="accent1"/>
      </w:pBdr>
      <w:spacing w:after="280" w:before="200"/>
    </w:pPr>
    <w:rPr>
      <w:b/>
      <w:bCs/>
      <w:i/>
      <w:iCs/>
      <w:color w:val="4F81BD"/>
    </w:rPr>
  </w:style>
  <w:style w:type="character" w:customStyle="1" w:styleId="IntenseQuoteChar">
    <w:name w:val="Intense Quote Char"/>
    <w:uiPriority w:val="30"/>
    <w:basedOn w:val="DefaultParagraphFont"/>
    <w:link w:val="IntenseQuote"/>
    <w:rPr>
      <w:b/>
      <w:bCs/>
      <w:i/>
      <w:iCs/>
      <w:color w:val="4F81BD"/>
    </w:rPr>
  </w:style>
  <w:style w:type="character" w:styleId="SubtleEmphasis">
    <w:name w:val="Subtle Emphasis"/>
    <w:uiPriority w:val="19"/>
    <w:basedOn w:val="DefaultParagraphFont"/>
    <w:qFormat/>
    <w:rPr>
      <w:i/>
      <w:iCs/>
      <w:color w:val="7F7F7F"/>
    </w:rPr>
  </w:style>
  <w:style w:type="character" w:styleId="IntenseEmphasis">
    <w:name w:val="Intense Emphasis"/>
    <w:uiPriority w:val="21"/>
    <w:basedOn w:val="DefaultParagraphFont"/>
    <w:qFormat/>
    <w:rPr>
      <w:b/>
      <w:bCs/>
      <w:i/>
      <w:iCs/>
      <w:color w:val="4F81BD"/>
    </w:rPr>
  </w:style>
  <w:style w:type="character" w:styleId="SubtleReference">
    <w:name w:val="Subtle Reference"/>
    <w:uiPriority w:val="31"/>
    <w:basedOn w:val="DefaultParagraphFont"/>
    <w:qFormat/>
    <w:rPr>
      <w:smallCaps/>
      <w:color w:val="C0504D"/>
      <w:u w:val="single" w:color="auto"/>
    </w:rPr>
  </w:style>
  <w:style w:type="character" w:styleId="IntenseReference">
    <w:name w:val="Intense Reference"/>
    <w:uiPriority w:val="32"/>
    <w:basedOn w:val="DefaultParagraphFont"/>
    <w:qFormat/>
    <w:rPr>
      <w:b/>
      <w:bCs/>
      <w:smallCaps/>
      <w:color w:val="C0504D"/>
      <w:u w:val="single" w:color="auto"/>
      <w:spacing w:val="5"/>
    </w:rPr>
  </w:style>
  <w:style w:type="character" w:styleId="BookTitle">
    <w:name w:val="Book Title"/>
    <w:uiPriority w:val="33"/>
    <w:basedOn w:val="DefaultParagraphFont"/>
    <w:qFormat/>
    <w:rPr>
      <w:b/>
      <w:bCs/>
      <w:smallCaps/>
      <w:spacing w:val="5"/>
    </w:rPr>
  </w:style>
  <w:style w:type="paragraph" w:styleId="TOCHeading">
    <w:name w:val="TOC Heading"/>
    <w:uiPriority w:val="39"/>
    <w:basedOn w:val="Heading1"/>
    <w:next w:val="Normal"/>
    <w:qFormat/>
    <w:semiHidden/>
    <w:unhideWhenUsed/>
    <w:pPr>
      <w:outlineLvl w:val="9"/>
    </w:pPr>
  </w:style>
  <w:style w:type="table" w:styleId="TableGrid">
    <w:name w:val="Table Grid"/>
    <w:uiPriority w:val="59"/>
    <w:basedOn w:val="TableNormal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uiPriority w:val="60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LightShading-Accent1">
    <w:name w:val="Light Shading Accent 1"/>
    <w:uiPriority w:val="60"/>
    <w:basedOn w:val="TableNormal"/>
    <w:pPr>
      <w:spacing w:after="0" w:line="240" w:lineRule="auto"/>
    </w:pPr>
    <w:rPr>
      <w:color w:val="376092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uiPriority w:val="60"/>
    <w:basedOn w:val="TableNormal"/>
    <w:pPr>
      <w:spacing w:after="0" w:line="240" w:lineRule="auto"/>
    </w:pPr>
    <w:rPr>
      <w:color w:val="953735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LightShading-Accent3">
    <w:name w:val="Light Shading Accent 3"/>
    <w:uiPriority w:val="60"/>
    <w:basedOn w:val="TableNormal"/>
    <w:pPr>
      <w:spacing w:after="0" w:line="240" w:lineRule="auto"/>
    </w:pPr>
    <w:rPr>
      <w:color w:val="76933C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uiPriority w:val="60"/>
    <w:basedOn w:val="TableNormal"/>
    <w:pPr>
      <w:spacing w:after="0" w:line="240" w:lineRule="auto"/>
    </w:pPr>
    <w:rPr>
      <w:color w:val="604A7B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uiPriority w:val="60"/>
    <w:basedOn w:val="TableNormal"/>
    <w:pPr>
      <w:spacing w:after="0" w:line="240" w:lineRule="auto"/>
    </w:pPr>
    <w:rPr>
      <w:color w:val="31859B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Shading-Accent6">
    <w:name w:val="Light Shading Accent 6"/>
    <w:uiPriority w:val="60"/>
    <w:basedOn w:val="TableNormal"/>
    <w:pPr>
      <w:spacing w:after="0" w:line="240" w:lineRule="auto"/>
    </w:pPr>
    <w:rPr>
      <w:color w:val="E46C0A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LightList">
    <w:name w:val="Light List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3F3F3F" w:themeColor="text1" w:themeTint="bf"/>
        <w:left w:val="single" w:sz="8" w:space="0" w:color="3F3F3F" w:themeColor="text1" w:themeTint="bf"/>
        <w:bottom w:val="single" w:sz="8" w:space="0" w:color="3F3F3F" w:themeColor="text1" w:themeTint="bf"/>
        <w:right w:val="single" w:sz="8" w:space="0" w:color="3F3F3F" w:themeColor="text1" w:themeTint="bf"/>
        <w:insideH w:val="single" w:sz="8" w:space="0" w:color="3F3F3F" w:themeColor="tex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3F3F3F" w:themeColor="text1" w:themeTint="bf"/>
          <w:left w:val="single" w:sz="8" w:space="0" w:color="3F3F3F" w:themeColor="text1" w:themeTint="bf"/>
          <w:bottom w:val="single" w:sz="8" w:space="0" w:color="3F3F3F" w:themeColor="text1" w:themeTint="bf"/>
          <w:right w:val="single" w:sz="8" w:space="0" w:color="3F3F3F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3F3F3F" w:themeColor="text1" w:themeTint="bf"/>
          <w:left w:val="single" w:sz="8" w:space="0" w:color="3F3F3F" w:themeColor="text1" w:themeTint="bf"/>
          <w:bottom w:val="single" w:sz="8" w:space="0" w:color="3F3F3F" w:themeColor="text1" w:themeTint="bf"/>
          <w:right w:val="single" w:sz="8" w:space="0" w:color="3F3F3F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MediumList1-Accent1">
    <w:name w:val="Medium List 1 Accent 1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MediumList1-Accent3">
    <w:name w:val="Medium List 1 Accent 3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MediumList1-Accent6">
    <w:name w:val="Medium List 1 Accent 6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MediumList2">
    <w:name w:val="Medium List 2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3F3F3F" w:themeColor="text1" w:themeTint="bf"/>
        <w:left w:val="single" w:sz="8" w:space="0" w:color="3F3F3F" w:themeColor="text1" w:themeTint="bf"/>
        <w:bottom w:val="single" w:sz="8" w:space="0" w:color="3F3F3F" w:themeColor="text1" w:themeTint="bf"/>
        <w:right w:val="single" w:sz="8" w:space="0" w:color="3F3F3F" w:themeColor="text1" w:themeTint="bf"/>
        <w:insideH w:val="single" w:sz="8" w:space="0" w:color="3F3F3F" w:themeColor="text1" w:themeTint="bf"/>
        <w:insideV w:val="single" w:sz="8" w:space="0" w:color="3F3F3F" w:themeColor="tex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F3F3F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MediumGrid1-Accent1">
    <w:name w:val="Medium Grid 1 Accent 1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MediumGrid1-Accent2">
    <w:name w:val="Medium Grid 1 Accent 2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  <w:insideV w:val="single" w:sz="8" w:space="0" w:color="B4CC82" w:themeColor="accent3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4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BFBFBF" w:themeFill="text1" w:themeFillTint="3f"/>
    </w:tcPr>
    <w:tblStylePr w:type="firstRow">
      <w:rPr>
        <w:b/>
        <w:bCs/>
        <w:color w:val="000000"/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CBCB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0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A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F7F7F" w:themeFill="text1" w:themeFillTint="7f"/>
      </w:tcPr>
    </w:tblStylePr>
  </w:style>
  <w:style w:type="table" w:styleId="MediumGrid3-Accent1">
    <w:name w:val="Medium Grid 3 Accent 1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C0DE" w:themeFill="accent1" w:themeFillTint="7f"/>
      </w:tcPr>
    </w:tblStylePr>
  </w:style>
  <w:style w:type="table" w:styleId="MediumGrid3-Accent2">
    <w:name w:val="Medium Grid 3 Accent 2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40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7609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</w:style>
  <w:style w:type="table" w:styleId="DarkList-Accent2">
    <w:name w:val="Dark List Accent 2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325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5373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</w:style>
  <w:style w:type="table" w:styleId="DarkList-Accent3">
    <w:name w:val="Dark List Accent 3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62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3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</w:style>
  <w:style w:type="table" w:styleId="DarkList-Accent4">
    <w:name w:val="Dark List Accent 4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0315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04A7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</w:style>
  <w:style w:type="table" w:styleId="DarkList-Accent5">
    <w:name w:val="Dark List Accent 5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1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5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</w:style>
  <w:style w:type="table" w:styleId="DarkList-Accent6">
    <w:name w:val="Dark List Accent 6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80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4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</w:style>
  <w:style w:type="table" w:styleId="ColorfulShading">
    <w:name w:val="Colorful Shading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89898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D75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D75" w:themeColor="accent1" w:themeShade="99"/>
          <w:insideV w:val="nil"/>
        </w:tcBorders>
        <w:shd w:val="clear" w:color="auto" w:fill="2C4D75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D75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9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F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F7530" w:themeColor="accent3" w:themeShade="99"/>
          <w:insideV w:val="nil"/>
        </w:tcBorders>
        <w:shd w:val="clear" w:color="auto" w:fill="5F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7530" w:themeFill="accent3" w:themeFillShade="99"/>
      </w:tcPr>
    </w:tblStylePr>
    <w:tblStylePr w:type="band1Vert">
      <w:tblPr/>
      <w:tcPr>
        <w:shd w:val="clear" w:color="auto" w:fill="D7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D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D3B62" w:themeColor="accent4" w:themeShade="99"/>
          <w:insideV w:val="nil"/>
        </w:tcBorders>
        <w:shd w:val="clear" w:color="auto" w:fill="4D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B62" w:themeFill="accent4" w:themeFillShade="99"/>
      </w:tcPr>
    </w:tblStylePr>
    <w:tblStylePr w:type="band1Vert">
      <w:tblPr/>
      <w:tcPr>
        <w:shd w:val="clear" w:color="auto" w:fill="CCC1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7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7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708" w:themeColor="accent6" w:themeShade="99"/>
          <w:insideV w:val="nil"/>
        </w:tcBorders>
        <w:shd w:val="clear" w:color="auto" w:fill="B657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708" w:themeFill="accent6" w:themeFillShade="99"/>
      </w:tcPr>
    </w:tblStylePr>
    <w:tblStylePr w:type="band1Vert">
      <w:tblPr/>
      <w:tcPr>
        <w:shd w:val="clear" w:color="auto" w:fill="FBD5B5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List">
    <w:name w:val="Colorful List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5E5E5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BCBCB" w:themeFill="text1" w:themeFillTint="33"/>
      </w:tcPr>
    </w:tblStylePr>
  </w:style>
  <w:style w:type="table" w:styleId="ColorfulList-Accent1">
    <w:name w:val="Colorful List Accent 1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F83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BF1DD" w:themeFill="accent3" w:themeFillTint="33"/>
      </w:tcPr>
    </w:tblStylePr>
  </w:style>
  <w:style w:type="table" w:styleId="ColorfulList-Accent4">
    <w:name w:val="Colorful List Accent 4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D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ColorfulList-Accent5">
    <w:name w:val="Colorful List Accent 5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3740B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58EA6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AD9" w:themeFill="accent6" w:themeFillTint="33"/>
      </w:tcPr>
    </w:tblStylePr>
  </w:style>
  <w:style w:type="table" w:styleId="ColorfulGrid">
    <w:name w:val="Colorful Grid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CBCBCB" w:themeFill="text1" w:themeFillTint="33"/>
    </w:tcPr>
    <w:tblStylePr w:type="firstRow">
      <w:rPr>
        <w:b/>
        <w:bCs/>
      </w:rPr>
      <w:tblPr/>
      <w:tcPr>
        <w:shd w:val="clear" w:color="auto" w:fill="989898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89898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ColorfulGrid-Accent1">
    <w:name w:val="Colorful Grid Accent 1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76092" w:themeFill="accent1" w:themeFillShade="bf"/>
      </w:tcPr>
    </w:tblStylePr>
    <w:tblStylePr w:type="lastCol">
      <w:rPr>
        <w:color w:val="FFFFFF"/>
      </w:rPr>
      <w:tblPr/>
      <w:tcPr>
        <w:shd w:val="clear" w:color="auto" w:fill="376092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ColorfulGrid-Accent2">
    <w:name w:val="Colorful Grid Accent 2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9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9B7" w:themeFill="accent2" w:themeFillTint="66"/>
      </w:tcPr>
    </w:tblStylePr>
    <w:tblStylePr w:type="firstCol">
      <w:rPr>
        <w:color w:val="FFFFFF"/>
      </w:rPr>
      <w:tblPr/>
      <w:tcPr>
        <w:shd w:val="clear" w:color="auto" w:fill="953735" w:themeFill="accent2" w:themeFillShade="bf"/>
      </w:tcPr>
    </w:tblStylePr>
    <w:tblStylePr w:type="lastCol">
      <w:rPr>
        <w:color w:val="FFFFFF"/>
      </w:rPr>
      <w:tblPr/>
      <w:tcPr>
        <w:shd w:val="clear" w:color="auto" w:fill="953735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BF1DD" w:themeFill="accent3" w:themeFillTint="33"/>
    </w:tcPr>
    <w:tblStylePr w:type="firstRow">
      <w:rPr>
        <w:b/>
        <w:bCs/>
      </w:rPr>
      <w:tblPr/>
      <w:tcPr>
        <w:shd w:val="clear" w:color="auto" w:fill="D7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7E3BC" w:themeFill="accent3" w:themeFillTint="66"/>
      </w:tcPr>
    </w:tblStylePr>
    <w:tblStylePr w:type="firstCol">
      <w:rPr>
        <w:color w:val="FFFFFF"/>
      </w:rPr>
      <w:tblPr/>
      <w:tcPr>
        <w:shd w:val="clear" w:color="auto" w:fill="76933C" w:themeFill="accent3" w:themeFillShade="bf"/>
      </w:tcPr>
    </w:tblStylePr>
    <w:tblStylePr w:type="lastCol">
      <w:rPr>
        <w:color w:val="FFFFFF"/>
      </w:rPr>
      <w:tblPr/>
      <w:tcPr>
        <w:shd w:val="clear" w:color="auto" w:fill="7693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5E0EC" w:themeFill="accent4" w:themeFillTint="33"/>
    </w:tcPr>
    <w:tblStylePr w:type="firstRow">
      <w:rPr>
        <w:b/>
        <w:bCs/>
      </w:rPr>
      <w:tblPr/>
      <w:tcPr>
        <w:shd w:val="clear" w:color="auto" w:fill="CCC1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1D9" w:themeFill="accent4" w:themeFillTint="66"/>
      </w:tcPr>
    </w:tblStylePr>
    <w:tblStylePr w:type="firstCol">
      <w:rPr>
        <w:color w:val="FFFFFF"/>
      </w:rPr>
      <w:tblPr/>
      <w:tcPr>
        <w:shd w:val="clear" w:color="auto" w:fill="604A7B" w:themeFill="accent4" w:themeFillShade="bf"/>
      </w:tcPr>
    </w:tblStylePr>
    <w:tblStylePr w:type="lastCol">
      <w:rPr>
        <w:color w:val="FFFFFF"/>
      </w:rPr>
      <w:tblPr/>
      <w:tcPr>
        <w:shd w:val="clear" w:color="auto" w:fill="604A7B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7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7DDE8" w:themeFill="accent5" w:themeFillTint="66"/>
      </w:tcPr>
    </w:tblStylePr>
    <w:tblStylePr w:type="firstCol">
      <w:rPr>
        <w:color w:val="FFFFFF"/>
      </w:rPr>
      <w:tblPr/>
      <w:tcPr>
        <w:shd w:val="clear" w:color="auto" w:fill="31859B" w:themeFill="accent5" w:themeFillShade="bf"/>
      </w:tcPr>
    </w:tblStylePr>
    <w:tblStylePr w:type="lastCol">
      <w:rPr>
        <w:color w:val="FFFFFF"/>
      </w:rPr>
      <w:tblPr/>
      <w:tcPr>
        <w:shd w:val="clear" w:color="auto" w:fill="3185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AD9" w:themeFill="accent6" w:themeFillTint="33"/>
    </w:tcPr>
    <w:tblStylePr w:type="firstRow">
      <w:rPr>
        <w:b/>
        <w:bCs/>
      </w:rPr>
      <w:tblPr/>
      <w:tcPr>
        <w:shd w:val="clear" w:color="auto" w:fill="FBD5B5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5B5" w:themeFill="accent6" w:themeFillTint="66"/>
      </w:tcPr>
    </w:tblStylePr>
    <w:tblStylePr w:type="firstCol">
      <w:rPr>
        <w:color w:val="FFFFFF"/>
      </w:rPr>
      <w:tblPr/>
      <w:tcPr>
        <w:shd w:val="clear" w:color="auto" w:fill="E46C0A" w:themeFill="accent6" w:themeFillShade="bf"/>
      </w:tcPr>
    </w:tblStylePr>
    <w:tblStylePr w:type="lastCol">
      <w:rPr>
        <w:color w:val="FFFFFF"/>
      </w:rPr>
      <w:tblPr/>
      <w:tcPr>
        <w:shd w:val="clear" w:color="auto" w:fill="E4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ticeBox">
    <w:name w:val="Notice Box"/>
    <w:pPr>
      <w:ind w:left="173" w:right="173"/>
      <w:spacing w:after="120" w:before="80"/>
    </w:pPr>
    <w:rPr>
      <w:rFonts w:ascii="맑은 고딕" w:eastAsia="맑은 고딕" w:hAnsi="맑은 고딕"/>
      <w:color w:val="444444"/>
      <w:sz w:val="19"/>
    </w:rPr>
  </w:style>
  <w:style w:type="table" w:customStyle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주짓수 국가대표 전문훈련매트 구매 입찰공고문</dc:title>
  <dc:subject>2026 하계 아시안게임 대비 국가대표 전문훈련매트 구매</dc:subject>
  <dc:creator>대한주짓수회</dc:creator>
  <cp:keywords>주짓수, 국가대표, 전문훈련매트, 물품구매, 일반경쟁, 규격가격동시입찰</cp:keywords>
  <dc:description>generated by python-docx</dc:description>
  <cp:lastModifiedBy>USER</cp:lastModifiedBy>
  <cp:revision>1</cp:revision>
  <dcterms:created xsi:type="dcterms:W3CDTF">2013-12-23T23:15:00Z</dcterms:created>
  <dcterms:modified xsi:type="dcterms:W3CDTF">2026-08-10T01:59:56Z</dcterms:modified>
  <cp:version>1200.0100.01</cp:version>
</cp:coreProperties>
</file>