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120" w:before="600"/>
      </w:pPr>
      <w:r>
        <w:rPr>
          <w:rFonts w:hint="eastAsia"/>
          <w:b/>
          <w:bCs/>
          <w:color w:val="000000"/>
          <w:sz w:val="56"/>
          <w:szCs w:val="56"/>
        </w:rPr>
        <w:t>규격서</w:t>
      </w:r>
    </w:p>
    <w:p>
      <w:pPr>
        <w:jc w:val="center"/>
        <w:spacing w:after="80"/>
        <w:rPr>
          <w:color w:val="808080"/>
        </w:rPr>
      </w:pPr>
      <w:r>
        <w:rPr>
          <w:color w:val="808080"/>
          <w:sz w:val="26"/>
          <w:szCs w:val="26"/>
        </w:rPr>
        <w:t xml:space="preserve">D5-CM </w:t>
      </w:r>
      <w:r>
        <w:rPr>
          <w:lang w:eastAsia="ko-KR"/>
          <w:color w:val="808080"/>
          <w:sz w:val="26"/>
          <w:szCs w:val="26"/>
          <w:rtl w:val="off"/>
        </w:rPr>
        <w:t>SoM</w:t>
      </w:r>
      <w:r>
        <w:rPr>
          <w:color w:val="808080"/>
          <w:sz w:val="26"/>
          <w:szCs w:val="26"/>
        </w:rPr>
        <w:t xml:space="preserve">(System on Module) </w:t>
      </w:r>
      <w:r>
        <w:rPr>
          <w:lang w:eastAsia="ko-KR"/>
          <w:color w:val="808080"/>
          <w:sz w:val="26"/>
          <w:szCs w:val="26"/>
          <w:rtl w:val="off"/>
        </w:rPr>
        <w:t>제품</w:t>
      </w:r>
      <w:r>
        <w:rPr>
          <w:rFonts w:hint="eastAsia"/>
          <w:color w:val="808080"/>
          <w:sz w:val="26"/>
          <w:szCs w:val="26"/>
        </w:rPr>
        <w:t xml:space="preserve"> 제작</w:t>
      </w:r>
    </w:p>
    <w:p>
      <w:pPr>
        <w:pBdr>
          <w:bottom w:val="single" w:sz="6" w:space="1" w:color="808080"/>
        </w:pBdr>
        <w:spacing w:after="200" w:before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10" w:type="dxa"/>
          <w:right w:w="10" w:type="dxa"/>
        </w:tblCellMar>
      </w:tblPr>
      <w:tblGrid>
        <w:gridCol w:w="2200"/>
        <w:gridCol w:w="6826"/>
      </w:tblGrid>
      <w:tr>
        <w:trPr>
          <w:tblHeader/>
        </w:trP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구분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내용</w:t>
            </w:r>
          </w:p>
        </w:tc>
      </w:tr>
      <w:t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사업명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D5-CM</w:t>
            </w:r>
            <w:r>
              <w:rPr>
                <w:lang w:eastAsia="ko-KR"/>
                <w:sz w:val="20"/>
                <w:szCs w:val="20"/>
                <w:rtl w:val="off"/>
              </w:rPr>
              <w:t xml:space="preserve"> SoM</w:t>
            </w:r>
            <w:r>
              <w:rPr>
                <w:sz w:val="20"/>
                <w:szCs w:val="20"/>
              </w:rPr>
              <w:t xml:space="preserve">(System on Module) </w:t>
            </w:r>
            <w:r>
              <w:rPr>
                <w:rFonts w:hint="eastAsia"/>
                <w:color w:val="000000"/>
                <w:sz w:val="20"/>
                <w:szCs w:val="20"/>
              </w:rPr>
              <w:t>제품 제작</w:t>
            </w:r>
          </w:p>
        </w:tc>
      </w:tr>
      <w:t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목적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'D5-CM</w:t>
            </w:r>
            <w:r>
              <w:rPr>
                <w:lang w:eastAsia="ko-KR"/>
                <w:sz w:val="20"/>
                <w:szCs w:val="20"/>
                <w:rtl w:val="off"/>
              </w:rPr>
              <w:t xml:space="preserve"> SoM</w:t>
            </w:r>
            <w:r>
              <w:rPr>
                <w:sz w:val="20"/>
                <w:szCs w:val="20"/>
              </w:rPr>
              <w:t xml:space="preserve">(System on Module)' </w:t>
            </w:r>
            <w:r>
              <w:rPr>
                <w:lang w:eastAsia="ko-KR"/>
                <w:sz w:val="20"/>
                <w:szCs w:val="20"/>
                <w:rtl w:val="off"/>
              </w:rPr>
              <w:t>목업</w:t>
            </w:r>
            <w:r>
              <w:rPr>
                <w:sz w:val="20"/>
                <w:szCs w:val="20"/>
              </w:rPr>
              <w:t>제품</w:t>
            </w:r>
            <w:r>
              <w:rPr>
                <w:lang w:eastAsia="ko-KR"/>
                <w:sz w:val="20"/>
                <w:szCs w:val="20"/>
                <w:rtl w:val="off"/>
              </w:rPr>
              <w:t>의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000000"/>
                <w:sz w:val="20"/>
                <w:szCs w:val="20"/>
              </w:rPr>
              <w:t>제작</w:t>
            </w:r>
          </w:p>
        </w:tc>
      </w:tr>
      <w:t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예산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rPr>
                <w:color w:val="auto"/>
              </w:rPr>
            </w:pPr>
            <w:r>
              <w:rPr>
                <w:color w:val="auto"/>
                <w:sz w:val="20"/>
                <w:szCs w:val="20"/>
              </w:rPr>
              <w:t xml:space="preserve">금 </w:t>
            </w:r>
            <w:r>
              <w:rPr>
                <w:lang w:eastAsia="ko-KR"/>
                <w:color w:val="auto"/>
                <w:sz w:val="20"/>
                <w:szCs w:val="20"/>
                <w:rtl w:val="off"/>
              </w:rPr>
              <w:t>44,0</w:t>
            </w:r>
            <w:r>
              <w:rPr>
                <w:color w:val="auto"/>
                <w:sz w:val="20"/>
                <w:szCs w:val="20"/>
              </w:rPr>
              <w:t>00,000원 (VAT 포함)</w:t>
            </w:r>
            <w:r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br/>
            </w:r>
            <w:r>
              <w:rPr>
                <w:color w:val="auto"/>
                <w:sz w:val="20"/>
                <w:szCs w:val="20"/>
              </w:rPr>
              <w:t xml:space="preserve">— 공급가액 </w:t>
            </w:r>
            <w:r>
              <w:rPr>
                <w:rFonts w:hint="eastAsia"/>
                <w:color w:val="auto"/>
                <w:sz w:val="20"/>
                <w:szCs w:val="20"/>
              </w:rPr>
              <w:t>4</w:t>
            </w:r>
            <w:r>
              <w:rPr>
                <w:lang w:eastAsia="ko-KR"/>
                <w:rFonts w:hint="eastAsia"/>
                <w:color w:val="auto"/>
                <w:sz w:val="20"/>
                <w:szCs w:val="20"/>
                <w:rtl w:val="off"/>
              </w:rPr>
              <w:t>0</w:t>
            </w:r>
            <w:r>
              <w:rPr>
                <w:color w:val="auto"/>
                <w:sz w:val="20"/>
                <w:szCs w:val="20"/>
              </w:rPr>
              <w:t xml:space="preserve">,000,000원 + 부가세 </w:t>
            </w:r>
            <w:r>
              <w:rPr>
                <w:rFonts w:hint="eastAsia"/>
                <w:color w:val="auto"/>
                <w:sz w:val="20"/>
                <w:szCs w:val="20"/>
              </w:rPr>
              <w:t>4</w:t>
            </w:r>
            <w:r>
              <w:rPr>
                <w:color w:val="auto"/>
                <w:sz w:val="20"/>
                <w:szCs w:val="20"/>
              </w:rPr>
              <w:t>,</w:t>
            </w:r>
            <w:r>
              <w:rPr>
                <w:lang w:eastAsia="ko-KR"/>
                <w:color w:val="auto"/>
                <w:sz w:val="20"/>
                <w:szCs w:val="20"/>
                <w:rtl w:val="off"/>
              </w:rPr>
              <w:t>0</w:t>
            </w:r>
            <w:r>
              <w:rPr>
                <w:color w:val="auto"/>
                <w:sz w:val="20"/>
                <w:szCs w:val="20"/>
              </w:rPr>
              <w:t>00,000원</w:t>
            </w:r>
          </w:p>
        </w:tc>
      </w:tr>
      <w:t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사업자선정방식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rPr>
                <w:color w:val="auto"/>
              </w:rPr>
            </w:pPr>
            <w:r>
              <w:rPr>
                <w:color w:val="auto"/>
                <w:sz w:val="20"/>
                <w:szCs w:val="20"/>
              </w:rPr>
              <w:t>협상에 의한 계약</w:t>
            </w:r>
          </w:p>
        </w:tc>
      </w:tr>
      <w:t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납품기한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rPr>
                <w:color w:val="auto"/>
              </w:rPr>
            </w:pPr>
            <w:r>
              <w:rPr>
                <w:color w:val="auto"/>
                <w:sz w:val="20"/>
                <w:szCs w:val="20"/>
              </w:rPr>
              <w:t xml:space="preserve">계약체결일로부터 </w:t>
            </w:r>
            <w:r>
              <w:rPr>
                <w:lang w:eastAsia="ko-KR"/>
                <w:color w:val="auto"/>
                <w:sz w:val="20"/>
                <w:szCs w:val="20"/>
                <w:rtl w:val="off"/>
              </w:rPr>
              <w:t>90</w:t>
            </w:r>
            <w:r>
              <w:rPr>
                <w:color w:val="auto"/>
                <w:sz w:val="20"/>
                <w:szCs w:val="20"/>
              </w:rPr>
              <w:t>일 이내</w:t>
            </w:r>
            <w:r>
              <w:rPr>
                <w:rFonts w:hint="eastAsia"/>
                <w:color w:val="auto"/>
                <w:sz w:val="20"/>
                <w:szCs w:val="20"/>
              </w:rPr>
              <w:t xml:space="preserve"> (1</w:t>
            </w:r>
            <w:r>
              <w:rPr>
                <w:rFonts w:hint="eastAsia"/>
                <w:color w:val="auto"/>
                <w:sz w:val="20"/>
                <w:szCs w:val="20"/>
              </w:rPr>
              <w:t>2</w:t>
            </w:r>
            <w:r>
              <w:rPr>
                <w:rFonts w:hint="eastAsia"/>
                <w:color w:val="auto"/>
                <w:sz w:val="20"/>
                <w:szCs w:val="20"/>
              </w:rPr>
              <w:t>월말까지)</w:t>
            </w:r>
          </w:p>
        </w:tc>
      </w:tr>
      <w:t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개발(제작) 기간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rPr>
                <w:color w:val="auto"/>
              </w:rPr>
            </w:pPr>
            <w:r>
              <w:rPr>
                <w:color w:val="auto"/>
                <w:sz w:val="20"/>
                <w:szCs w:val="20"/>
              </w:rPr>
              <w:t xml:space="preserve">계약일로부터 </w:t>
            </w:r>
            <w:r>
              <w:rPr>
                <w:lang w:eastAsia="ko-KR"/>
                <w:color w:val="auto"/>
                <w:sz w:val="20"/>
                <w:szCs w:val="20"/>
                <w:rtl w:val="off"/>
              </w:rPr>
              <w:t>90</w:t>
            </w:r>
            <w:r>
              <w:rPr>
                <w:color w:val="auto"/>
                <w:sz w:val="20"/>
                <w:szCs w:val="20"/>
              </w:rPr>
              <w:t>일</w:t>
            </w:r>
            <w:r>
              <w:rPr>
                <w:rFonts w:hint="eastAsia"/>
                <w:color w:val="auto"/>
                <w:sz w:val="20"/>
                <w:szCs w:val="20"/>
              </w:rPr>
              <w:t xml:space="preserve"> 이내</w:t>
            </w:r>
          </w:p>
        </w:tc>
      </w:tr>
    </w:tbl>
    <w:p>
      <w:pPr>
        <w:spacing w:before="400"/>
      </w:pPr>
      <w:r>
        <w:br w:type="page"/>
      </w:r>
    </w:p>
    <w:p>
      <w:pPr>
        <w:pStyle w:val="1"/>
      </w:pPr>
      <w:r>
        <w:t>I. 개요</w:t>
      </w:r>
    </w:p>
    <w:p>
      <w:pPr>
        <w:pStyle w:val="2"/>
      </w:pPr>
      <w:r>
        <w:t>1. 목적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본 사업은 ㈜</w:t>
      </w:r>
      <w:r>
        <w:t>텔레칩스의</w:t>
      </w:r>
      <w:r>
        <w:t xml:space="preserve"> Dolphin5 기반의 'D5-CM</w:t>
      </w:r>
      <w:r>
        <w:rPr>
          <w:lang w:eastAsia="ko-KR"/>
          <w:rtl w:val="off"/>
        </w:rPr>
        <w:t xml:space="preserve"> SoM</w:t>
      </w:r>
      <w:r>
        <w:t xml:space="preserve">(System on Module)' </w:t>
      </w:r>
      <w:r>
        <w:rPr>
          <w:lang w:eastAsia="ko-KR"/>
          <w:rtl w:val="off"/>
        </w:rPr>
        <w:t xml:space="preserve">목업 </w:t>
      </w:r>
      <w:r>
        <w:t xml:space="preserve">제품을 </w:t>
      </w:r>
      <w:r>
        <w:rPr>
          <w:rFonts w:hint="eastAsia"/>
          <w:color w:val="000000"/>
        </w:rPr>
        <w:t>제작</w:t>
      </w:r>
      <w:r>
        <w:t>하는 데 있다.</w:t>
      </w:r>
    </w:p>
    <w:p>
      <w:pPr>
        <w:pStyle w:val="2"/>
      </w:pPr>
      <w:r>
        <w:t>2. 품명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rPr>
          <w:rFonts w:hint="eastAsia"/>
          <w:color w:val="000000"/>
        </w:rPr>
        <w:t>시제품 제작</w:t>
      </w:r>
      <w:r>
        <w:t>: D5-CM</w:t>
      </w:r>
      <w:r>
        <w:rPr>
          <w:lang w:eastAsia="ko-KR"/>
          <w:rtl w:val="off"/>
        </w:rPr>
        <w:t xml:space="preserve"> SoM</w:t>
      </w:r>
      <w:r>
        <w:t xml:space="preserve">(System on Module) </w:t>
      </w:r>
      <w:r>
        <w:rPr>
          <w:rFonts w:hint="eastAsia"/>
          <w:color w:val="000000"/>
        </w:rPr>
        <w:t>제작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상세 내역은 'II. 일반사항' 및 별첨 과업지시서 참조</w:t>
      </w:r>
    </w:p>
    <w:p>
      <w:pPr>
        <w:pStyle w:val="2"/>
      </w:pPr>
      <w:r>
        <w:t>3. 예산</w:t>
      </w:r>
      <w:r>
        <w:rPr>
          <w:rFonts w:hint="eastAsia"/>
        </w:rPr>
        <w:t xml:space="preserve"> 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10" w:type="dxa"/>
          <w:right w:w="10" w:type="dxa"/>
        </w:tblCellMar>
      </w:tblPr>
      <w:tblGrid>
        <w:gridCol w:w="4513"/>
        <w:gridCol w:w="4513"/>
      </w:tblGrid>
      <w:tr>
        <w:trPr>
          <w:tblHeader/>
        </w:trPr>
        <w:tc>
          <w:tcPr>
            <w:tcW w:w="45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항목</w:t>
            </w:r>
          </w:p>
        </w:tc>
        <w:tc>
          <w:tcPr>
            <w:tcW w:w="45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금액</w:t>
            </w:r>
          </w:p>
        </w:tc>
      </w:tr>
      <w:tr>
        <w:tc>
          <w:tcPr>
            <w:tcW w:w="45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공급가액</w:t>
            </w:r>
          </w:p>
        </w:tc>
        <w:tc>
          <w:tcPr>
            <w:tcW w:w="45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rFonts w:hint="eastAsia"/>
                <w:sz w:val="20"/>
                <w:szCs w:val="20"/>
              </w:rPr>
              <w:t>4</w:t>
            </w:r>
            <w:r>
              <w:rPr>
                <w:lang w:eastAsia="ko-KR"/>
                <w:rFonts w:hint="eastAsia"/>
                <w:sz w:val="20"/>
                <w:szCs w:val="20"/>
                <w:rtl w:val="off"/>
              </w:rPr>
              <w:t>0</w:t>
            </w:r>
            <w:r>
              <w:rPr>
                <w:sz w:val="20"/>
                <w:szCs w:val="20"/>
              </w:rPr>
              <w:t>,000,000원</w:t>
            </w:r>
          </w:p>
        </w:tc>
      </w:tr>
      <w:tr>
        <w:tc>
          <w:tcPr>
            <w:tcW w:w="45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부가세</w:t>
            </w:r>
          </w:p>
        </w:tc>
        <w:tc>
          <w:tcPr>
            <w:tcW w:w="45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rFonts w:hint="eastAsia"/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,</w:t>
            </w:r>
            <w:r>
              <w:rPr>
                <w:lang w:eastAsia="ko-KR"/>
                <w:sz w:val="20"/>
                <w:szCs w:val="20"/>
                <w:rtl w:val="off"/>
              </w:rPr>
              <w:t>0</w:t>
            </w:r>
            <w:r>
              <w:rPr>
                <w:sz w:val="20"/>
                <w:szCs w:val="20"/>
              </w:rPr>
              <w:t>00,000원</w:t>
            </w:r>
          </w:p>
        </w:tc>
      </w:tr>
      <w:tr>
        <w:tc>
          <w:tcPr>
            <w:tcW w:w="45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>합계</w:t>
            </w:r>
          </w:p>
        </w:tc>
        <w:tc>
          <w:tcPr>
            <w:tcW w:w="45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lang w:eastAsia="ko-KR"/>
                <w:rFonts w:hint="eastAsia"/>
                <w:b/>
                <w:bCs/>
                <w:sz w:val="20"/>
                <w:szCs w:val="20"/>
                <w:rtl w:val="off"/>
              </w:rPr>
              <w:t>44</w:t>
            </w:r>
            <w:r>
              <w:rPr>
                <w:b/>
                <w:bCs/>
                <w:sz w:val="20"/>
                <w:szCs w:val="20"/>
              </w:rPr>
              <w:t>,</w:t>
            </w:r>
            <w:r>
              <w:rPr>
                <w:lang w:eastAsia="ko-KR"/>
                <w:b/>
                <w:bCs/>
                <w:sz w:val="20"/>
                <w:szCs w:val="20"/>
                <w:rtl w:val="off"/>
              </w:rPr>
              <w:t>0</w:t>
            </w:r>
            <w:r>
              <w:rPr>
                <w:b/>
                <w:bCs/>
                <w:sz w:val="20"/>
                <w:szCs w:val="20"/>
              </w:rPr>
              <w:t>00,000원</w:t>
            </w:r>
          </w:p>
        </w:tc>
      </w:tr>
    </w:tbl>
    <w:p>
      <w:pPr>
        <w:pStyle w:val="2"/>
      </w:pPr>
      <w:r>
        <w:t>4. 사업자선정방식</w:t>
      </w:r>
    </w:p>
    <w:p>
      <w:pPr>
        <w:pStyle w:val="a4"/>
        <w:numPr>
          <w:ilvl w:val="0"/>
          <w:numId w:val="2"/>
        </w:numPr>
        <w:spacing w:after="60" w:before="20" w:line="300" w:lineRule="auto"/>
      </w:pPr>
      <w:r>
        <w:t>협상에 의한 계약</w:t>
      </w:r>
    </w:p>
    <w:p>
      <w:pPr>
        <w:pStyle w:val="2"/>
      </w:pPr>
      <w:r>
        <w:t>5. 입찰참가자격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color w:val="auto"/>
        </w:rPr>
      </w:pPr>
      <w:r>
        <w:t>「</w:t>
      </w:r>
      <w:r>
        <w:t>국가종합전자조달시스템</w:t>
      </w:r>
      <w:r>
        <w:t xml:space="preserve"> </w:t>
      </w:r>
      <w:r>
        <w:t>입찰참가자격등록규정」에</w:t>
      </w:r>
      <w:r>
        <w:t xml:space="preserve"> 의하여 전자입찰서 제출마감일 전일까지 입찰참가 등록한 자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color w:val="auto"/>
        </w:rPr>
      </w:pPr>
      <w:r>
        <w:rPr>
          <w:color w:val="auto"/>
        </w:rPr>
        <w:t>하드웨어 회로 설계 및 임베디드 시스템 시제품 제작 및 생산 역량을 보유한 업체</w:t>
      </w:r>
    </w:p>
    <w:p>
      <w:pPr>
        <w:pStyle w:val="2"/>
        <w:rPr>
          <w:color w:val="auto"/>
        </w:rPr>
      </w:pPr>
      <w:r>
        <w:rPr>
          <w:color w:val="auto"/>
        </w:rPr>
        <w:t>6. 납품기한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lang w:eastAsia="ko-KR"/>
          <w:rFonts w:hint="eastAsia"/>
          <w:color w:val="auto"/>
          <w:rtl w:val="off"/>
        </w:rPr>
      </w:pPr>
      <w:r>
        <w:rPr>
          <w:color w:val="auto"/>
        </w:rPr>
        <w:t xml:space="preserve">납품기한: 계약체결일로부터 </w:t>
      </w:r>
      <w:r>
        <w:rPr>
          <w:rFonts w:hint="eastAsia"/>
          <w:color w:val="auto"/>
        </w:rPr>
        <w:t>120</w:t>
      </w:r>
      <w:r>
        <w:rPr>
          <w:color w:val="auto"/>
        </w:rPr>
        <w:t>일 이내</w:t>
      </w:r>
      <w:r>
        <w:rPr>
          <w:rFonts w:hint="eastAsia"/>
          <w:color w:val="auto"/>
        </w:rPr>
        <w:t xml:space="preserve"> (1</w:t>
      </w:r>
      <w:r>
        <w:rPr>
          <w:rFonts w:hint="eastAsia"/>
          <w:color w:val="auto"/>
        </w:rPr>
        <w:t>2</w:t>
      </w:r>
      <w:r>
        <w:rPr>
          <w:rFonts w:hint="eastAsia"/>
          <w:color w:val="auto"/>
        </w:rPr>
        <w:t>월말까지)</w:t>
      </w:r>
    </w:p>
    <w:p>
      <w:pPr>
        <w:spacing w:after="60" w:before="20" w:line="300" w:lineRule="auto"/>
        <w:rPr>
          <w:lang w:eastAsia="ko-KR"/>
          <w:rFonts w:hint="eastAsia"/>
          <w:color w:val="auto"/>
          <w:rtl w:val="off"/>
        </w:rPr>
      </w:pPr>
    </w:p>
    <w:p>
      <w:pPr>
        <w:spacing w:after="60" w:before="20" w:line="300" w:lineRule="auto"/>
        <w:rPr>
          <w:lang w:eastAsia="ko-KR"/>
          <w:rFonts w:hint="eastAsia"/>
          <w:color w:val="auto"/>
          <w:rtl w:val="off"/>
        </w:rPr>
      </w:pPr>
    </w:p>
    <w:p>
      <w:pPr>
        <w:spacing w:after="60" w:before="20" w:line="300" w:lineRule="auto"/>
        <w:rPr>
          <w:color w:val="auto"/>
        </w:rPr>
      </w:pPr>
    </w:p>
    <w:p>
      <w:pPr>
        <w:pStyle w:val="1"/>
      </w:pPr>
      <w:r>
        <w:t>II. 일반사항</w:t>
      </w:r>
    </w:p>
    <w:p>
      <w:pPr>
        <w:pStyle w:val="2"/>
      </w:pPr>
      <w:r>
        <w:t>1. 과업 수행 및 납품</w:t>
      </w:r>
    </w:p>
    <w:p>
      <w:pPr>
        <w:spacing w:after="60" w:before="160"/>
      </w:pPr>
      <w:r>
        <w:rPr>
          <w:lang w:eastAsia="ko-KR"/>
          <w:b/>
          <w:bCs/>
          <w:color w:val="404040"/>
          <w:rtl w:val="off"/>
        </w:rPr>
        <w:t>제작</w:t>
      </w:r>
      <w:r>
        <w:rPr>
          <w:b/>
          <w:bCs/>
          <w:color w:val="404040"/>
        </w:rPr>
        <w:t xml:space="preserve"> 범위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lang/>
          <w:rFonts/>
          <w:color w:val="auto"/>
          <w:rtl w:val="off"/>
        </w:rPr>
      </w:pPr>
      <w:r>
        <w:t xml:space="preserve">계약상대자는 </w:t>
      </w:r>
      <w:r>
        <w:rPr>
          <w:lang w:eastAsia="ko-KR"/>
          <w:rtl w:val="off"/>
        </w:rPr>
        <w:t xml:space="preserve">발주처가 제공하는 </w:t>
      </w:r>
      <w:r>
        <w:t>Telechips</w:t>
      </w:r>
      <w:r>
        <w:t xml:space="preserve"> Dolphin5 프로세서를 기반으로 하는 System on Module(D5-</w:t>
      </w:r>
      <w:r>
        <w:rPr>
          <w:color w:val="auto"/>
        </w:rPr>
        <w:t xml:space="preserve">CM)의 </w:t>
      </w:r>
      <w:r>
        <w:rPr>
          <w:rFonts w:hint="eastAsia"/>
          <w:color w:val="auto"/>
        </w:rPr>
        <w:t>설계 및 PCB Artwork자료를 검토하고 시제품을 제작해야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color w:val="auto"/>
        </w:rPr>
      </w:pPr>
      <w:r>
        <w:rPr>
          <w:rFonts w:hint="eastAsia"/>
          <w:color w:val="auto"/>
        </w:rPr>
        <w:t>PCB</w:t>
      </w:r>
    </w:p>
    <w:p>
      <w:pPr>
        <w:pStyle w:val="a4"/>
        <w:numPr>
          <w:ilvl w:val="1"/>
          <w:numId w:val="1"/>
        </w:numPr>
        <w:spacing w:after="60" w:before="20" w:line="300" w:lineRule="auto"/>
        <w:rPr>
          <w:color w:val="auto"/>
        </w:rPr>
      </w:pPr>
      <w:r>
        <w:rPr>
          <w:rFonts w:hint="eastAsia"/>
          <w:color w:val="auto"/>
        </w:rPr>
        <w:t>14-Layer</w:t>
      </w:r>
      <w:r>
        <w:rPr>
          <w:rFonts w:hint="eastAsia"/>
          <w:color w:val="auto"/>
        </w:rPr>
        <w:t>, 1.6T</w:t>
      </w:r>
    </w:p>
    <w:p>
      <w:pPr>
        <w:pStyle w:val="a4"/>
        <w:numPr>
          <w:ilvl w:val="1"/>
          <w:numId w:val="1"/>
        </w:numPr>
        <w:spacing w:after="60" w:before="20" w:line="300" w:lineRule="auto"/>
        <w:rPr>
          <w:color w:val="auto"/>
        </w:rPr>
      </w:pPr>
      <w:r>
        <w:rPr>
          <w:rFonts w:hint="eastAsia"/>
          <w:color w:val="auto"/>
        </w:rPr>
        <w:t xml:space="preserve">HDI </w:t>
      </w:r>
      <w:r>
        <w:rPr>
          <w:rFonts w:hint="eastAsia"/>
          <w:color w:val="auto"/>
        </w:rPr>
        <w:t>Any-</w:t>
      </w:r>
      <w:r>
        <w:rPr>
          <w:rFonts w:hint="eastAsia"/>
          <w:color w:val="auto"/>
        </w:rPr>
        <w:t>Layer 구조</w:t>
      </w:r>
      <w:r>
        <w:rPr>
          <w:rFonts w:hint="eastAsia"/>
          <w:color w:val="auto"/>
        </w:rPr>
        <w:t xml:space="preserve"> 적용</w:t>
      </w:r>
    </w:p>
    <w:p>
      <w:pPr>
        <w:pStyle w:val="a4"/>
        <w:numPr>
          <w:ilvl w:val="1"/>
          <w:numId w:val="1"/>
        </w:numPr>
        <w:spacing w:after="60" w:before="20" w:line="300" w:lineRule="auto"/>
        <w:rPr>
          <w:color w:val="auto"/>
        </w:rPr>
      </w:pPr>
      <w:r>
        <w:rPr>
          <w:rFonts w:hint="eastAsia"/>
          <w:color w:val="auto"/>
        </w:rPr>
        <w:t xml:space="preserve">EM-37B(Z) </w:t>
      </w:r>
      <w:r>
        <w:rPr>
          <w:rFonts w:hint="eastAsia"/>
          <w:color w:val="auto"/>
        </w:rPr>
        <w:t>적용</w:t>
      </w:r>
      <w:r>
        <w:rPr>
          <w:rFonts w:hint="eastAsia"/>
          <w:color w:val="auto"/>
        </w:rPr>
        <w:t xml:space="preserve"> (High-</w:t>
      </w:r>
      <w:r>
        <w:rPr>
          <w:rFonts w:hint="eastAsia"/>
          <w:color w:val="auto"/>
        </w:rPr>
        <w:t>Tg</w:t>
      </w:r>
      <w:r>
        <w:rPr>
          <w:rFonts w:hint="eastAsia"/>
          <w:color w:val="auto"/>
        </w:rPr>
        <w:t>)</w:t>
      </w:r>
    </w:p>
    <w:p>
      <w:pPr>
        <w:pStyle w:val="a4"/>
        <w:numPr>
          <w:ilvl w:val="1"/>
          <w:numId w:val="1"/>
        </w:numPr>
        <w:spacing w:after="60" w:before="20" w:line="300" w:lineRule="auto"/>
        <w:rPr>
          <w:color w:val="auto"/>
        </w:rPr>
      </w:pPr>
      <w:r>
        <w:rPr>
          <w:rFonts w:hint="eastAsia"/>
          <w:color w:val="auto"/>
        </w:rPr>
        <w:t>IPC-Class2 만족 필요</w:t>
      </w:r>
      <w:r>
        <w:rPr>
          <w:rFonts w:hint="eastAsia"/>
          <w:color w:val="auto"/>
        </w:rPr>
        <w:t xml:space="preserve"> (SMT 포함)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color w:val="auto"/>
        </w:rPr>
      </w:pPr>
      <w:r>
        <w:rPr>
          <w:rFonts w:hint="eastAsia"/>
          <w:color w:val="auto"/>
        </w:rPr>
        <w:t xml:space="preserve">시제품 제작을 위한 PCB 개발비 및 </w:t>
      </w:r>
      <w:r>
        <w:rPr>
          <w:rFonts w:hint="eastAsia"/>
          <w:color w:val="auto"/>
        </w:rPr>
        <w:t>시제품 제작을 위한 BoM 및 부품 소싱을 포함한 단가를 제안해야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color w:val="auto"/>
        </w:rPr>
      </w:pPr>
      <w:r>
        <w:rPr>
          <w:rFonts w:hint="eastAsia"/>
          <w:color w:val="auto"/>
        </w:rPr>
        <w:t xml:space="preserve">V0.1.0 </w:t>
      </w:r>
      <w:r>
        <w:rPr>
          <w:rFonts w:hint="eastAsia"/>
          <w:color w:val="auto"/>
        </w:rPr>
        <w:t>DRAM 사양</w:t>
      </w:r>
    </w:p>
    <w:p>
      <w:pPr>
        <w:pStyle w:val="a4"/>
        <w:numPr>
          <w:ilvl w:val="1"/>
          <w:numId w:val="1"/>
        </w:numPr>
        <w:spacing w:after="60" w:before="20" w:line="300" w:lineRule="auto"/>
        <w:rPr>
          <w:color w:val="auto"/>
        </w:rPr>
      </w:pPr>
      <w:r>
        <w:rPr>
          <w:rFonts w:hint="eastAsia"/>
          <w:color w:val="auto"/>
        </w:rPr>
        <w:t xml:space="preserve">LPDDR5 </w:t>
      </w:r>
      <w:r>
        <w:rPr>
          <w:rFonts w:hint="eastAsia"/>
          <w:color w:val="auto"/>
        </w:rPr>
        <w:t>561-ball</w:t>
      </w:r>
    </w:p>
    <w:p>
      <w:pPr>
        <w:pStyle w:val="a4"/>
        <w:numPr>
          <w:ilvl w:val="1"/>
          <w:numId w:val="1"/>
        </w:numPr>
        <w:spacing w:after="60" w:before="20" w:line="300" w:lineRule="auto"/>
        <w:rPr>
          <w:color w:val="auto"/>
        </w:rPr>
      </w:pPr>
      <w:r>
        <w:rPr>
          <w:rFonts w:hint="eastAsia"/>
          <w:color w:val="auto"/>
        </w:rPr>
        <w:t xml:space="preserve">Ball Size: 0.24mm, Pitch: 0.4mm </w:t>
      </w:r>
      <w:r>
        <w:rPr>
          <w:color w:val="auto"/>
        </w:rPr>
        <w:sym w:font="Wingdings" w:char="F0E0"/>
      </w:r>
      <w:r>
        <w:rPr>
          <w:rFonts w:hint="eastAsia"/>
          <w:color w:val="auto"/>
        </w:rPr>
        <w:t xml:space="preserve"> </w:t>
      </w:r>
      <w:r>
        <w:rPr>
          <w:color w:val="auto"/>
        </w:rPr>
        <w:t xml:space="preserve">Width/Space: </w:t>
      </w:r>
      <w:r>
        <w:rPr>
          <w:rFonts w:hint="eastAsia"/>
          <w:color w:val="auto"/>
        </w:rPr>
        <w:t>M</w:t>
      </w:r>
      <w:r>
        <w:rPr>
          <w:color w:val="auto"/>
        </w:rPr>
        <w:t>in 40/45</w:t>
      </w:r>
      <w:r>
        <w:rPr>
          <w:rFonts w:hint="eastAsia"/>
          <w:color w:val="auto"/>
        </w:rPr>
        <w:t xml:space="preserve"> </w:t>
      </w:r>
      <w:r>
        <w:rPr>
          <w:color w:val="auto"/>
        </w:rPr>
        <w:t>대응</w:t>
      </w:r>
      <w:r>
        <w:rPr>
          <w:rFonts w:hint="eastAsia"/>
          <w:color w:val="auto"/>
        </w:rPr>
        <w:t xml:space="preserve"> 필요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color w:val="auto"/>
        </w:rPr>
      </w:pPr>
      <w:r>
        <w:rPr>
          <w:rFonts w:hint="eastAsia"/>
          <w:color w:val="auto"/>
        </w:rPr>
        <w:t xml:space="preserve">시제품 제작을 위한 PCB 개발비 및 </w:t>
      </w:r>
      <w:r>
        <w:rPr>
          <w:rFonts w:hint="eastAsia"/>
          <w:color w:val="auto"/>
        </w:rPr>
        <w:t>시제품 제작을 위한 BoM 및 부품 소싱을 포함한 단가를 제안해야 한다.</w:t>
      </w:r>
    </w:p>
    <w:p>
      <w:pPr>
        <w:spacing w:after="60" w:before="160"/>
        <w:rPr>
          <w:color w:val="auto"/>
        </w:rPr>
      </w:pPr>
      <w:r>
        <w:rPr>
          <w:b/>
          <w:bCs/>
          <w:color w:val="auto"/>
        </w:rPr>
        <w:t>산출물 작성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color w:val="auto"/>
        </w:rPr>
      </w:pPr>
      <w:r>
        <w:rPr>
          <w:rFonts w:hint="eastAsia"/>
          <w:color w:val="auto"/>
        </w:rPr>
        <w:t>(산출물 리스트를 HW에 요청</w:t>
      </w:r>
      <w:r>
        <w:rPr>
          <w:rFonts w:hint="eastAsia"/>
          <w:color w:val="auto"/>
        </w:rPr>
        <w:t>해서 받아야 함.</w:t>
      </w:r>
      <w:r>
        <w:rPr>
          <w:rFonts w:hint="eastAsia"/>
          <w:color w:val="auto"/>
        </w:rPr>
        <w:t>)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color w:val="auto"/>
        </w:rPr>
      </w:pPr>
      <w:r>
        <w:rPr>
          <w:color w:val="auto"/>
        </w:rPr>
        <w:t>PCB 검사 성적서</w:t>
      </w:r>
      <w:r>
        <w:rPr>
          <w:rFonts w:hint="eastAsia"/>
          <w:color w:val="auto"/>
        </w:rPr>
        <w:t xml:space="preserve">, </w:t>
      </w:r>
      <w:r>
        <w:rPr>
          <w:color w:val="auto"/>
        </w:rPr>
        <w:t>AOI 검사 성적서</w:t>
      </w:r>
      <w:r>
        <w:rPr>
          <w:rFonts w:hint="eastAsia"/>
          <w:color w:val="auto"/>
        </w:rPr>
        <w:t xml:space="preserve"> 제출</w:t>
      </w:r>
      <w:r>
        <w:rPr>
          <w:rFonts w:hint="eastAsia"/>
          <w:color w:val="auto"/>
        </w:rPr>
        <w:t>이 필요하다.</w:t>
      </w:r>
    </w:p>
    <w:p>
      <w:pPr>
        <w:spacing w:after="60" w:before="160"/>
        <w:rPr>
          <w:color w:val="auto"/>
        </w:rPr>
      </w:pPr>
      <w:r>
        <w:rPr>
          <w:b/>
          <w:bCs/>
          <w:color w:val="auto"/>
        </w:rPr>
        <w:t>제작 및 품질 준수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color w:val="auto"/>
        </w:rPr>
      </w:pPr>
      <w:r>
        <w:rPr>
          <w:color w:val="auto"/>
        </w:rPr>
        <w:t>시제품 제작에 사용되는 모든 부품은 정품 및 신품(New)을 사용해야 하며, 산업용 등급(Industrial Grade)에 준하는 신뢰성을 확보해야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lang/>
          <w:color w:val="auto"/>
          <w:rtl w:val="off"/>
        </w:rPr>
      </w:pPr>
      <w:r>
        <w:rPr>
          <w:color w:val="auto"/>
        </w:rPr>
        <w:t xml:space="preserve">발주처가 요구하는 기구 규격(Form Factor) 및 </w:t>
      </w:r>
      <w:r>
        <w:rPr>
          <w:rFonts w:hint="eastAsia"/>
          <w:color w:val="auto"/>
        </w:rPr>
        <w:t xml:space="preserve">부품 </w:t>
      </w:r>
      <w:r>
        <w:rPr>
          <w:color w:val="auto"/>
        </w:rPr>
        <w:t xml:space="preserve">사양을 엄격히 준수하여 </w:t>
      </w:r>
      <w:r>
        <w:rPr>
          <w:rFonts w:hint="eastAsia"/>
          <w:color w:val="auto"/>
        </w:rPr>
        <w:t>제작</w:t>
      </w:r>
      <w:r>
        <w:rPr>
          <w:color w:val="auto"/>
        </w:rPr>
        <w:t>해야 한다.</w:t>
      </w:r>
    </w:p>
    <w:p>
      <w:pPr>
        <w:spacing w:after="60" w:before="20" w:line="300" w:lineRule="auto"/>
        <w:rPr>
          <w:lang/>
          <w:color w:val="auto"/>
          <w:rtl w:val="off"/>
        </w:rPr>
      </w:pPr>
    </w:p>
    <w:p>
      <w:pPr>
        <w:spacing w:after="60" w:before="20" w:line="300" w:lineRule="auto"/>
        <w:rPr>
          <w:lang/>
          <w:color w:val="auto"/>
          <w:rtl w:val="off"/>
        </w:rPr>
      </w:pPr>
    </w:p>
    <w:p>
      <w:pPr>
        <w:spacing w:after="60" w:before="20" w:line="300" w:lineRule="auto"/>
        <w:rPr>
          <w:color w:val="auto"/>
        </w:rPr>
      </w:pPr>
    </w:p>
    <w:p>
      <w:pPr>
        <w:pStyle w:val="2"/>
      </w:pPr>
      <w:r>
        <w:t>2. 검수 및 인수 조건</w:t>
      </w:r>
    </w:p>
    <w:p>
      <w:pPr>
        <w:spacing w:after="60" w:before="160"/>
      </w:pPr>
      <w:r>
        <w:rPr>
          <w:b/>
          <w:bCs/>
          <w:color w:val="404040"/>
        </w:rPr>
        <w:t>산출물 검수</w:t>
      </w:r>
      <w:r>
        <w:rPr>
          <w:rFonts w:hint="eastAsia"/>
          <w:b/>
          <w:bCs/>
          <w:color w:val="404040"/>
        </w:rPr>
        <w:t xml:space="preserve"> </w:t>
      </w:r>
    </w:p>
    <w:p>
      <w:pPr>
        <w:pStyle w:val="a4"/>
        <w:numPr>
          <w:ilvl w:val="0"/>
          <w:numId w:val="1"/>
        </w:numPr>
      </w:pPr>
      <w:r>
        <w:t>납품 시 다음의 산출물을 모두 제출해야 하며, 누락 시 인수를 거부할 수 있다.</w:t>
      </w:r>
    </w:p>
    <w:p>
      <w:pPr>
        <w:pStyle w:val="a4"/>
        <w:numPr>
          <w:ilvl w:val="1"/>
          <w:numId w:val="1"/>
        </w:numPr>
        <w:spacing w:after="60" w:before="20" w:line="300" w:lineRule="auto"/>
      </w:pPr>
      <w:r>
        <w:t>PCB 검사 성적서, AOI 검사 성적서</w:t>
      </w:r>
    </w:p>
    <w:p>
      <w:pPr>
        <w:spacing w:after="60" w:before="160"/>
      </w:pPr>
      <w:r>
        <w:rPr>
          <w:b/>
          <w:bCs/>
          <w:color w:val="404040"/>
        </w:rPr>
        <w:t>성능 검사</w:t>
      </w:r>
      <w:r>
        <w:rPr>
          <w:rFonts w:hint="eastAsia"/>
          <w:b/>
          <w:bCs/>
          <w:color w:val="404040"/>
        </w:rPr>
        <w:t xml:space="preserve"> 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rPr>
          <w:rFonts w:hint="eastAsia"/>
        </w:rPr>
        <w:t>부팅</w:t>
      </w:r>
      <w:r>
        <w:t xml:space="preserve"> 및 동작: 제작된 모듈은 전용 지그 또는 발주처의 평가 보드에서 정상적으로 부팅(Booting)되어야 하며, OS 진입에 문제가 없어야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rPr>
          <w:rFonts w:hint="eastAsia"/>
        </w:rPr>
        <w:t>전기적</w:t>
      </w:r>
      <w:r>
        <w:t xml:space="preserve"> 특성: 발주처가 제공한 '테스트 시나리오 및 평가항목'</w:t>
      </w:r>
      <w:r>
        <w:t>에</w:t>
      </w:r>
      <w:r>
        <w:t xml:space="preserve"> 따라 주요 신호 및 전원 레벨이 허용 오차 범위 내에 있어야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lang w:eastAsia="ko-KR"/>
          <w:rFonts w:hint="eastAsia"/>
          <w:rtl w:val="off"/>
        </w:rPr>
      </w:pPr>
      <w:r>
        <w:rPr>
          <w:rFonts w:hint="eastAsia"/>
        </w:rPr>
        <w:t>단위</w:t>
      </w:r>
      <w:r>
        <w:t xml:space="preserve"> 테스트(Unit Test): CPU, Memory, PMIC 등 주요 부품 간의 통신 및 인터페이스 기능이 정상 동작함을 입증해야 한다.</w:t>
      </w:r>
    </w:p>
    <w:p>
      <w:pPr>
        <w:spacing w:after="60" w:before="20" w:line="300" w:lineRule="auto"/>
        <w:rPr>
          <w:lang w:eastAsia="ko-KR"/>
          <w:rFonts w:hint="eastAsia"/>
          <w:rtl w:val="off"/>
        </w:rPr>
      </w:pPr>
    </w:p>
    <w:p>
      <w:pPr>
        <w:spacing w:after="60" w:before="20" w:line="300" w:lineRule="auto"/>
      </w:pPr>
    </w:p>
    <w:p>
      <w:pPr>
        <w:spacing w:after="60" w:before="160"/>
      </w:pPr>
      <w:r>
        <w:rPr>
          <w:b/>
          <w:bCs/>
          <w:color w:val="404040"/>
        </w:rPr>
        <w:t>검수 절차</w:t>
      </w:r>
      <w:r>
        <w:rPr>
          <w:rFonts w:hint="eastAsia"/>
          <w:b/>
          <w:bCs/>
          <w:color w:val="404040"/>
        </w:rPr>
        <w:t xml:space="preserve"> 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공급자는 납품 전 자체 테스트</w:t>
      </w:r>
      <w:r>
        <w:rPr>
          <w:rFonts w:hint="eastAsia"/>
        </w:rPr>
        <w:t>(AOI)</w:t>
      </w:r>
      <w:r>
        <w:t>를 수행하고 그 결과가 포함된 시험성적서(Test Result Report)를 제출해야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최종 검수는 수요기관 담당자 입회 하에 주요 기능에 대한 시연 및 산출물 확인으로 진행한다.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성능 미달 또는 문서 내용이 부실할 경우, 수요기관은 보완을 요청할 수 있으며 공급자는 지체 없이 이를 이행해야 한다.</w:t>
      </w:r>
    </w:p>
    <w:p>
      <w:pPr>
        <w:pStyle w:val="2"/>
      </w:pPr>
      <w:r>
        <w:t>3. 기술이전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계약업체는 설계 변경 사유와 적용 기술에 대하여 수요기관 담당자에게 기술 리뷰(Design Review) 및 기술 이전을 시행해야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 xml:space="preserve">납품 시, 수정된 설계 내역(Revision History)이 포함된 기술 문서를 제공하여 향후 수요기관이 독자적으로 </w:t>
      </w:r>
      <w:r>
        <w:t>유지보수할</w:t>
      </w:r>
      <w:r>
        <w:t xml:space="preserve"> 수 있도록 지원해야 한다.</w:t>
      </w:r>
    </w:p>
    <w:p>
      <w:pPr>
        <w:pStyle w:val="2"/>
        <w:rPr>
          <w:lang/>
          <w:rtl w:val="off"/>
        </w:rPr>
      </w:pPr>
    </w:p>
    <w:p>
      <w:pPr>
        <w:pStyle w:val="2"/>
        <w:rPr>
          <w:lang/>
          <w:rtl w:val="off"/>
        </w:rPr>
      </w:pPr>
    </w:p>
    <w:p>
      <w:pPr>
        <w:pStyle w:val="2"/>
      </w:pPr>
      <w:r>
        <w:t>4. 사후관리 및 보안</w:t>
      </w:r>
    </w:p>
    <w:p>
      <w:pPr>
        <w:spacing w:after="60" w:before="160"/>
      </w:pPr>
      <w:r>
        <w:rPr>
          <w:b/>
          <w:bCs/>
          <w:color w:val="404040"/>
        </w:rPr>
        <w:t>하자담보책임기간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최종 검수 완료일로부터 3년으로 한다.</w:t>
      </w:r>
    </w:p>
    <w:p>
      <w:pPr>
        <w:spacing w:after="60" w:before="160"/>
      </w:pPr>
      <w:r>
        <w:rPr>
          <w:b/>
          <w:bCs/>
          <w:color w:val="404040"/>
        </w:rPr>
        <w:t>장애 조치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 xml:space="preserve">하자담보책임기간 내 설계 결함이나 제작 불량 발생 시, 계약업체는 </w:t>
      </w:r>
      <w:r>
        <w:t>통보받은</w:t>
      </w:r>
      <w:r>
        <w:t xml:space="preserve"> 날의 다음 날(익일)까지 원인 분석 및 대응 방안을 제시하고 무상으로 조치해야 한다.</w:t>
      </w:r>
    </w:p>
    <w:p>
      <w:pPr>
        <w:spacing w:after="60" w:before="160"/>
      </w:pPr>
      <w:r>
        <w:rPr>
          <w:b/>
          <w:bCs/>
          <w:color w:val="404040"/>
        </w:rPr>
        <w:t>보안 유지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lang w:eastAsia="ko-KR"/>
          <w:rFonts w:hint="eastAsia"/>
          <w:rtl w:val="off"/>
        </w:rPr>
      </w:pPr>
      <w:r>
        <w:t>본 사업 수행 중 취득한 기술 정보(회로도, 소스코드 등)는 절대 외부에 유출할 수 없으며, 착수 및 완료 시 대표자 및 참여자 전원의 보안서약서를 제출해야 한다.</w:t>
      </w:r>
    </w:p>
    <w:p>
      <w:pPr>
        <w:spacing w:after="60" w:before="20" w:line="300" w:lineRule="auto"/>
        <w:rPr>
          <w:lang w:eastAsia="ko-KR"/>
          <w:rFonts w:hint="eastAsia"/>
          <w:rtl w:val="off"/>
        </w:rPr>
      </w:pPr>
    </w:p>
    <w:p>
      <w:pPr>
        <w:spacing w:after="60" w:before="20" w:line="300" w:lineRule="auto"/>
        <w:rPr>
          <w:lang w:eastAsia="ko-KR"/>
          <w:rFonts w:hint="eastAsia"/>
          <w:rtl w:val="off"/>
        </w:rPr>
      </w:pPr>
    </w:p>
    <w:p>
      <w:pPr>
        <w:spacing w:after="60" w:before="20" w:line="300" w:lineRule="auto"/>
        <w:rPr>
          <w:lang w:eastAsia="ko-KR"/>
          <w:rFonts w:hint="eastAsia"/>
          <w:rtl w:val="off"/>
        </w:rPr>
      </w:pPr>
    </w:p>
    <w:p>
      <w:pPr>
        <w:spacing w:after="60" w:before="20" w:line="300" w:lineRule="auto"/>
        <w:rPr>
          <w:lang w:eastAsia="ko-KR"/>
          <w:rFonts w:hint="eastAsia"/>
          <w:rtl w:val="off"/>
        </w:rPr>
      </w:pPr>
    </w:p>
    <w:p>
      <w:pPr>
        <w:spacing w:after="60" w:before="20" w:line="300" w:lineRule="auto"/>
      </w:pPr>
    </w:p>
    <w:p>
      <w:pPr>
        <w:pStyle w:val="1"/>
        <w:rPr>
          <w:lang/>
          <w:rtl w:val="off"/>
        </w:rPr>
      </w:pPr>
    </w:p>
    <w:p>
      <w:pPr>
        <w:pStyle w:val="1"/>
        <w:rPr>
          <w:lang/>
          <w:rtl w:val="off"/>
        </w:rPr>
      </w:pPr>
    </w:p>
    <w:p>
      <w:pPr>
        <w:pStyle w:val="1"/>
        <w:rPr>
          <w:lang/>
          <w:rtl w:val="off"/>
        </w:rPr>
      </w:pPr>
    </w:p>
    <w:p>
      <w:pPr>
        <w:pStyle w:val="1"/>
        <w:rPr>
          <w:lang/>
          <w:rtl w:val="off"/>
        </w:rPr>
      </w:pPr>
    </w:p>
    <w:p>
      <w:pPr>
        <w:pStyle w:val="1"/>
        <w:rPr>
          <w:lang/>
          <w:rtl w:val="off"/>
        </w:rPr>
      </w:pPr>
    </w:p>
    <w:p>
      <w:pPr>
        <w:pStyle w:val="1"/>
        <w:rPr>
          <w:lang/>
          <w:rtl w:val="off"/>
        </w:rPr>
      </w:pPr>
    </w:p>
    <w:p>
      <w:pPr>
        <w:pStyle w:val="1"/>
        <w:rPr>
          <w:lang/>
          <w:rtl w:val="off"/>
        </w:rPr>
      </w:pPr>
    </w:p>
    <w:p>
      <w:pPr>
        <w:pStyle w:val="1"/>
      </w:pPr>
      <w:r>
        <w:t>III. 제안서 평가기준</w:t>
      </w:r>
    </w:p>
    <w:p>
      <w:pPr>
        <w:pStyle w:val="2"/>
      </w:pPr>
      <w:r>
        <w:t>1. 평가 방법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평가위원회를 구성하여 제안서 검토 후 기술능력평가 및 입찰가격평가를 실시한다.</w:t>
      </w:r>
    </w:p>
    <w:p>
      <w:pPr>
        <w:spacing w:after="80" w:before="40" w:line="300" w:lineRule="auto"/>
      </w:pPr>
      <w:r>
        <w:rPr>
          <w:i/>
          <w:iCs/>
          <w:color w:val="595959"/>
          <w:sz w:val="19"/>
          <w:szCs w:val="19"/>
        </w:rPr>
        <w:t>※ 평가 비율: 기술 90</w:t>
      </w:r>
      <w:r>
        <w:rPr>
          <w:i/>
          <w:iCs/>
          <w:color w:val="595959"/>
          <w:sz w:val="19"/>
          <w:szCs w:val="19"/>
        </w:rPr>
        <w:t>% :</w:t>
      </w:r>
      <w:r>
        <w:rPr>
          <w:i/>
          <w:iCs/>
          <w:color w:val="595959"/>
          <w:sz w:val="19"/>
          <w:szCs w:val="19"/>
        </w:rPr>
        <w:t xml:space="preserve"> 가격 10% (종합평가)</w:t>
      </w:r>
    </w:p>
    <w:p>
      <w:pPr>
        <w:pStyle w:val="2"/>
      </w:pPr>
      <w:r>
        <w:t>2. 평가위원 구성 및 원칙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평가위원회는 전문성과 공정성을 확보하기 위해 외부 전문가를 포함하여 구성한다.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평가위원 명단은 비공개로 하며, 제안 업체는 평가 결과에 대해 이의를 제기할 수 없다.</w:t>
      </w:r>
    </w:p>
    <w:p>
      <w:pPr>
        <w:pStyle w:val="2"/>
      </w:pPr>
      <w:r>
        <w:t>3. 평가 기준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기술능력평가 점수가 배점 한도의 85% 이상인 업체를 협상적격자로 선정한다.</w:t>
      </w:r>
    </w:p>
    <w:p>
      <w:pPr>
        <w:spacing w:after="60" w:before="160"/>
      </w:pPr>
      <w:r>
        <w:rPr>
          <w:b/>
          <w:bCs/>
          <w:color w:val="404040"/>
        </w:rPr>
        <w:t>주요평가항목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10" w:type="dxa"/>
          <w:right w:w="10" w:type="dxa"/>
        </w:tblCellMar>
      </w:tblPr>
      <w:tblGrid>
        <w:gridCol w:w="2200"/>
        <w:gridCol w:w="6826"/>
      </w:tblGrid>
      <w:tr>
        <w:trPr>
          <w:tblHeader/>
        </w:trP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구분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평가 항목</w:t>
            </w:r>
          </w:p>
        </w:tc>
      </w:tr>
      <w:t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① 기술 부문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이슈 해결 방안의 구체성, 회로 설계 역량, 시제품 제작 계획의 적정성</w:t>
            </w:r>
          </w:p>
        </w:tc>
      </w:tr>
      <w:t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② 관리 부문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품질보증 계획, 사후관리(유지보수) 지원 체계, 납품 일정의 현실성</w:t>
            </w:r>
          </w:p>
        </w:tc>
      </w:tr>
      <w:t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③ 일반 부문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업체의 재무구조 및 유사 사업 수행 실적 (최근 3년)</w:t>
            </w:r>
          </w:p>
        </w:tc>
      </w:tr>
    </w:tbl>
    <w:p>
      <w:pPr>
        <w:pStyle w:val="1"/>
      </w:pPr>
      <w:r>
        <w:t>IV. 제안서 작성 일반지침</w:t>
      </w:r>
    </w:p>
    <w:p>
      <w:pPr>
        <w:pStyle w:val="2"/>
      </w:pPr>
      <w:r>
        <w:t>1. 일반 사항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제안업체는 평가 항목을 준용하여 제반 요구사항의 만족 여부를 명확하고 간결하게 기술해야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해당 사항이 없는 항목은 "해당 사항 없음"</w:t>
      </w:r>
      <w:r>
        <w:t>으로</w:t>
      </w:r>
      <w:r>
        <w:t xml:space="preserve"> 명기한다.</w:t>
      </w:r>
    </w:p>
    <w:p>
      <w:pPr>
        <w:pStyle w:val="2"/>
      </w:pPr>
      <w:r>
        <w:t>2. 제안서의 효력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제안서에 제시된 내용은 계약서에 명시하지 않더라도 계약서와 동일한 효력을 가진다.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제출된 제안서의 내용은 발주처가 요청하지 않는 한 변경할 수 없으며, 허위 사실이 발견될 경우 계약 해지 및 손해배상 책임을 진다.</w:t>
      </w:r>
    </w:p>
    <w:p>
      <w:pPr>
        <w:pStyle w:val="2"/>
      </w:pPr>
      <w:r>
        <w:t>3. 제안서 구성 내용 및 작성 방법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제안서는 [별첨] 과업지시서의 요구사항을 충실히 반영하여 작성해야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기술적 검증 자료(포트폴리오, 유사 사례 등)를 반드시 첨부해야 한다.</w:t>
      </w:r>
    </w:p>
    <w:p>
      <w:pPr>
        <w:pStyle w:val="2"/>
      </w:pPr>
      <w:r>
        <w:t>4. 제안서 작성 유의사항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내용 중 "할 수도 있다", "고려하고 있다" 등의 모호한 표현은 불가능한 것으로 간주한다.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제안과 관련된 소요 비용은 제안 업체가 부담하며, 제출된 자료는 반환하지 않는다.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허위 작성이 확인될 경우 평가 대상에서 제외한다.</w:t>
      </w:r>
    </w:p>
    <w:p>
      <w:pPr>
        <w:pStyle w:val="2"/>
      </w:pPr>
      <w:r>
        <w:t>5. 제안서 제출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제출 기한 및 장소: 입찰공고문 참조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제출 서류: 제안서, 입찰참가신청서, 실적증명서, 보안확약서 등 입찰공고문에 명시된 서류 일체</w:t>
      </w:r>
    </w:p>
    <w:p>
      <w:pPr>
        <w:pStyle w:val="2"/>
      </w:pPr>
      <w:r>
        <w:t>6. 문의처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10" w:type="dxa"/>
          <w:right w:w="10" w:type="dxa"/>
        </w:tblCellMar>
      </w:tblPr>
      <w:tblGrid>
        <w:gridCol w:w="2200"/>
        <w:gridCol w:w="6826"/>
      </w:tblGrid>
      <w:tr>
        <w:trPr>
          <w:tblHeader/>
        </w:trP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구분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담당자</w:t>
            </w:r>
          </w:p>
        </w:tc>
      </w:tr>
      <w:t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과업 및 기술 문의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㈜</w:t>
            </w:r>
            <w:r>
              <w:rPr>
                <w:sz w:val="20"/>
                <w:szCs w:val="20"/>
              </w:rPr>
              <w:t>텔레칩스</w:t>
            </w:r>
            <w:r>
              <w:rPr>
                <w:sz w:val="20"/>
                <w:szCs w:val="20"/>
              </w:rPr>
              <w:t xml:space="preserve"> TOPST 사업개발팀 모우진 팀장 (Woojin.moh@telechips.com)</w:t>
            </w:r>
          </w:p>
        </w:tc>
      </w:tr>
      <w:tr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입찰 및 계약 문의</w:t>
            </w:r>
          </w:p>
        </w:tc>
        <w:tc>
          <w:tcPr>
            <w:tcW w:w="6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㈜</w:t>
            </w:r>
            <w:r>
              <w:rPr>
                <w:sz w:val="20"/>
                <w:szCs w:val="20"/>
              </w:rPr>
              <w:t>텔레칩스</w:t>
            </w:r>
            <w:r>
              <w:rPr>
                <w:sz w:val="20"/>
                <w:szCs w:val="20"/>
              </w:rPr>
              <w:t xml:space="preserve"> TOPST 사업개발팀 모우진 팀장 (Woojin.moh@telechips.com)</w:t>
            </w:r>
          </w:p>
        </w:tc>
      </w:tr>
    </w:tbl>
    <w:p>
      <w:r>
        <w:br w:type="page"/>
      </w:r>
    </w:p>
    <w:p>
      <w:pPr>
        <w:pStyle w:val="1"/>
      </w:pPr>
      <w:r>
        <w:t>[별첨 1] 과업 지시서</w:t>
      </w:r>
      <w:r>
        <w:rPr>
          <w:rFonts w:hint="eastAsia"/>
        </w:rPr>
        <w:t xml:space="preserve"> </w:t>
      </w:r>
    </w:p>
    <w:p>
      <w:pPr>
        <w:pStyle w:val="2"/>
      </w:pPr>
      <w:r>
        <w:t xml:space="preserve">1. </w:t>
      </w:r>
      <w:r>
        <w:t>과업명</w:t>
      </w:r>
    </w:p>
    <w:p>
      <w:pPr>
        <w:spacing w:after="80" w:before="40" w:line="300" w:lineRule="auto"/>
      </w:pPr>
      <w:r>
        <w:t xml:space="preserve">D5-CM </w:t>
      </w:r>
      <w:r>
        <w:t>SoM</w:t>
      </w:r>
      <w:r>
        <w:t xml:space="preserve"> </w:t>
      </w:r>
      <w:r>
        <w:rPr>
          <w:rFonts w:hint="eastAsia"/>
        </w:rPr>
        <w:t xml:space="preserve">제품 </w:t>
      </w:r>
      <w:r>
        <w:rPr>
          <w:rFonts w:hint="eastAsia"/>
        </w:rPr>
        <w:t>제작 건</w:t>
      </w:r>
    </w:p>
    <w:p>
      <w:pPr>
        <w:pStyle w:val="2"/>
      </w:pPr>
      <w:r>
        <w:t>2. 과업 목표</w:t>
      </w:r>
    </w:p>
    <w:p>
      <w:pPr>
        <w:spacing w:after="80" w:before="40" w:line="300" w:lineRule="auto"/>
      </w:pPr>
      <w:r>
        <w:t>Telechips</w:t>
      </w:r>
      <w:r>
        <w:t xml:space="preserve"> Dolphin5 기반의 System on Module을 </w:t>
      </w:r>
      <w:r>
        <w:rPr>
          <w:rFonts w:hint="eastAsia"/>
        </w:rPr>
        <w:t>제작</w:t>
      </w:r>
    </w:p>
    <w:p>
      <w:pPr>
        <w:pStyle w:val="2"/>
      </w:pPr>
      <w:r>
        <w:t>3. 과업 범위 및 내용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D5</w:t>
      </w:r>
      <w:r>
        <w:rPr>
          <w:rFonts w:hint="eastAsia"/>
        </w:rPr>
        <w:t>-CM System on</w:t>
      </w:r>
      <w:r>
        <w:t xml:space="preserve"> Module </w:t>
      </w:r>
      <w:r>
        <w:rPr>
          <w:rFonts w:hint="eastAsia"/>
        </w:rPr>
        <w:t>PCB제작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b/>
          <w:bCs/>
          <w:color w:val="000000"/>
        </w:rPr>
      </w:pPr>
      <w:r>
        <w:rPr>
          <w:color w:val="000000"/>
        </w:rPr>
        <w:t>D5</w:t>
      </w:r>
      <w:r>
        <w:rPr>
          <w:rFonts w:hint="eastAsia"/>
          <w:color w:val="000000"/>
        </w:rPr>
        <w:t>-CM System on</w:t>
      </w:r>
      <w:r>
        <w:rPr>
          <w:color w:val="000000"/>
        </w:rPr>
        <w:t xml:space="preserve"> Module</w:t>
      </w:r>
      <w:r>
        <w:rPr>
          <w:rFonts w:hint="eastAsia"/>
          <w:b/>
          <w:bCs/>
          <w:color w:val="000000"/>
        </w:rPr>
        <w:t xml:space="preserve"> </w:t>
      </w:r>
      <w:r>
        <w:rPr>
          <w:rFonts w:hint="eastAsia"/>
          <w:color w:val="000000"/>
        </w:rPr>
        <w:t xml:space="preserve">부품 </w:t>
      </w:r>
      <w:r>
        <w:rPr>
          <w:rFonts w:hint="eastAsia"/>
          <w:color w:val="000000"/>
        </w:rPr>
        <w:t>도급 (</w:t>
      </w:r>
      <w:r>
        <w:rPr>
          <w:rFonts w:hint="eastAsia"/>
          <w:color w:val="000000"/>
        </w:rPr>
        <w:t>사급품</w:t>
      </w:r>
      <w:r>
        <w:rPr>
          <w:rFonts w:hint="eastAsia"/>
          <w:color w:val="000000"/>
        </w:rPr>
        <w:t xml:space="preserve"> 제외)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b/>
          <w:bCs/>
          <w:color w:val="000000"/>
        </w:rPr>
      </w:pPr>
      <w:r>
        <w:rPr>
          <w:color w:val="000000"/>
        </w:rPr>
        <w:t>D5</w:t>
      </w:r>
      <w:r>
        <w:rPr>
          <w:rFonts w:hint="eastAsia"/>
          <w:color w:val="000000"/>
        </w:rPr>
        <w:t>-CM System on</w:t>
      </w:r>
      <w:r>
        <w:rPr>
          <w:color w:val="000000"/>
        </w:rPr>
        <w:t xml:space="preserve"> Module</w:t>
      </w:r>
      <w:r>
        <w:rPr>
          <w:rFonts w:hint="eastAsia"/>
          <w:color w:val="000000"/>
        </w:rPr>
        <w:t>에 대한 DFM review 및 검토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b/>
          <w:bCs/>
          <w:color w:val="000000"/>
        </w:rPr>
      </w:pPr>
      <w:r>
        <w:rPr>
          <w:color w:val="000000"/>
        </w:rPr>
        <w:t>D5</w:t>
      </w:r>
      <w:r>
        <w:rPr>
          <w:rFonts w:hint="eastAsia"/>
          <w:color w:val="000000"/>
        </w:rPr>
        <w:t>-CM System on</w:t>
      </w:r>
      <w:r>
        <w:rPr>
          <w:color w:val="000000"/>
        </w:rPr>
        <w:t xml:space="preserve"> Module</w:t>
      </w:r>
      <w:r>
        <w:rPr>
          <w:rFonts w:hint="eastAsia"/>
          <w:color w:val="000000"/>
        </w:rPr>
        <w:t xml:space="preserve"> SMT 및 검수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b/>
          <w:bCs/>
          <w:color w:val="000000"/>
        </w:rPr>
      </w:pPr>
      <w:r>
        <w:rPr>
          <w:color w:val="000000"/>
        </w:rPr>
        <w:t>D5</w:t>
      </w:r>
      <w:r>
        <w:rPr>
          <w:rFonts w:hint="eastAsia"/>
          <w:color w:val="000000"/>
        </w:rPr>
        <w:t>-CM System on</w:t>
      </w:r>
      <w:r>
        <w:rPr>
          <w:color w:val="000000"/>
        </w:rPr>
        <w:t xml:space="preserve"> Module</w:t>
      </w:r>
      <w:r>
        <w:rPr>
          <w:rFonts w:hint="eastAsia"/>
          <w:color w:val="000000"/>
        </w:rPr>
        <w:t xml:space="preserve"> 포장 및 발송</w:t>
      </w:r>
    </w:p>
    <w:p>
      <w:pPr>
        <w:pStyle w:val="a4"/>
        <w:numPr>
          <w:ilvl w:val="0"/>
          <w:numId w:val="1"/>
        </w:numPr>
        <w:spacing w:after="60" w:before="20" w:line="300" w:lineRule="auto"/>
        <w:rPr>
          <w:b/>
          <w:bCs/>
          <w:color w:val="000000"/>
          <w:spacing w:val="-6"/>
        </w:rPr>
      </w:pPr>
      <w:r>
        <w:rPr>
          <w:rFonts w:hint="eastAsia"/>
          <w:b/>
          <w:bCs/>
          <w:color w:val="000000"/>
          <w:spacing w:val="-6"/>
        </w:rPr>
        <w:t xml:space="preserve">산출물 - </w:t>
      </w:r>
      <w:r>
        <w:rPr>
          <w:rFonts w:hint="eastAsia"/>
          <w:b/>
          <w:bCs/>
          <w:color w:val="000000"/>
          <w:spacing w:val="-6"/>
        </w:rPr>
        <w:t>PCB 검사 성적서</w:t>
      </w:r>
      <w:r>
        <w:rPr>
          <w:rFonts w:hint="eastAsia"/>
          <w:b/>
          <w:bCs/>
          <w:color w:val="000000"/>
          <w:spacing w:val="-6"/>
        </w:rPr>
        <w:t xml:space="preserve"> (</w:t>
      </w:r>
      <w:r>
        <w:rPr>
          <w:b/>
          <w:bCs/>
          <w:color w:val="000000"/>
          <w:spacing w:val="-6"/>
        </w:rPr>
        <w:t>Final Product Inspection Report</w:t>
      </w:r>
      <w:r>
        <w:rPr>
          <w:rFonts w:hint="eastAsia"/>
          <w:b/>
          <w:bCs/>
          <w:color w:val="000000"/>
          <w:spacing w:val="-6"/>
        </w:rPr>
        <w:t>)</w:t>
      </w:r>
      <w:r>
        <w:rPr>
          <w:rFonts w:hint="eastAsia"/>
          <w:b/>
          <w:bCs/>
          <w:color w:val="000000"/>
          <w:spacing w:val="-6"/>
        </w:rPr>
        <w:t>, 출하성적서</w:t>
      </w:r>
      <w:r>
        <w:rPr>
          <w:rFonts w:hint="eastAsia"/>
          <w:b/>
          <w:bCs/>
          <w:color w:val="000000"/>
          <w:spacing w:val="-6"/>
        </w:rPr>
        <w:t xml:space="preserve">(외관, </w:t>
      </w:r>
      <w:r>
        <w:rPr>
          <w:rFonts w:hint="eastAsia"/>
          <w:b/>
          <w:bCs/>
          <w:color w:val="000000"/>
          <w:spacing w:val="-6"/>
        </w:rPr>
        <w:t>디멘젼</w:t>
      </w:r>
      <w:r>
        <w:rPr>
          <w:rFonts w:hint="eastAsia"/>
          <w:b/>
          <w:bCs/>
          <w:color w:val="000000"/>
          <w:spacing w:val="-6"/>
        </w:rPr>
        <w:t xml:space="preserve"> 정보)</w:t>
      </w:r>
    </w:p>
    <w:p>
      <w:pPr>
        <w:pStyle w:val="2"/>
      </w:pPr>
      <w:r>
        <w:t>4. 마일스톤별 일정 및 산출물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10" w:type="dxa"/>
          <w:right w:w="10" w:type="dxa"/>
        </w:tblCellMar>
      </w:tblPr>
      <w:tblGrid>
        <w:gridCol w:w="1271"/>
        <w:gridCol w:w="2552"/>
        <w:gridCol w:w="1984"/>
        <w:gridCol w:w="3260"/>
      </w:tblGrid>
      <w:tr>
        <w:trPr>
          <w:tblHeader/>
        </w:trPr>
        <w:tc>
          <w:tcPr>
            <w:tcW w:w="12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Milestone</w:t>
            </w:r>
          </w:p>
        </w:tc>
        <w:tc>
          <w:tcPr>
            <w:tcW w:w="25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Work Module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Amount (만원)</w:t>
            </w:r>
          </w:p>
        </w:tc>
        <w:tc>
          <w:tcPr>
            <w:tcW w:w="32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Deliverables</w:t>
            </w:r>
          </w:p>
        </w:tc>
      </w:tr>
      <w:tr>
        <w:tc>
          <w:tcPr>
            <w:tcW w:w="12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M1</w:t>
            </w:r>
          </w:p>
        </w:tc>
        <w:tc>
          <w:tcPr>
            <w:tcW w:w="25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rFonts w:hint="eastAsia"/>
                <w:sz w:val="20"/>
                <w:szCs w:val="20"/>
              </w:rPr>
              <w:t>PCB 제작 준비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32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rFonts w:hint="eastAsia"/>
              </w:rPr>
              <w:t xml:space="preserve">PCB </w:t>
            </w:r>
            <w:r>
              <w:rPr>
                <w:rFonts w:hint="eastAsia"/>
              </w:rPr>
              <w:t xml:space="preserve">Tooling </w:t>
            </w:r>
            <w:r>
              <w:rPr>
                <w:rFonts w:hint="eastAsia"/>
              </w:rPr>
              <w:t>결과서</w:t>
            </w:r>
          </w:p>
        </w:tc>
      </w:tr>
      <w:tr>
        <w:tc>
          <w:tcPr>
            <w:tcW w:w="12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M2</w:t>
            </w:r>
          </w:p>
        </w:tc>
        <w:tc>
          <w:tcPr>
            <w:tcW w:w="25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rFonts w:hint="eastAsia"/>
                <w:sz w:val="20"/>
                <w:szCs w:val="20"/>
              </w:rPr>
              <w:t>v0.1.0 보드 제작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00</w:t>
            </w:r>
          </w:p>
        </w:tc>
        <w:tc>
          <w:tcPr>
            <w:tcW w:w="32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rFonts w:hint="eastAsia"/>
              </w:rPr>
              <w:t>AOI 검사 성적서</w:t>
            </w:r>
          </w:p>
        </w:tc>
      </w:tr>
      <w:tr>
        <w:tc>
          <w:tcPr>
            <w:tcW w:w="12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M3</w:t>
            </w:r>
          </w:p>
        </w:tc>
        <w:tc>
          <w:tcPr>
            <w:tcW w:w="25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V</w:t>
            </w:r>
            <w:r>
              <w:rPr>
                <w:rFonts w:hint="eastAsia"/>
                <w:sz w:val="20"/>
                <w:szCs w:val="20"/>
              </w:rPr>
              <w:t>0.2.1 보드 제작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32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검증 및 인증 산출물</w:t>
            </w:r>
          </w:p>
        </w:tc>
      </w:tr>
    </w:tbl>
    <w:p>
      <w:pPr>
        <w:spacing w:before="160"/>
      </w:pPr>
      <w:r>
        <w:rPr>
          <w:b/>
          <w:bCs/>
        </w:rPr>
        <w:t xml:space="preserve">Total </w:t>
      </w:r>
      <w:r>
        <w:rPr>
          <w:b/>
          <w:bCs/>
        </w:rPr>
        <w:t>Cost :</w:t>
      </w:r>
      <w:r>
        <w:rPr>
          <w:b/>
          <w:bCs/>
        </w:rPr>
        <w:t xml:space="preserve"> </w:t>
      </w:r>
      <w:r>
        <w:t xml:space="preserve">₩ </w:t>
      </w:r>
      <w:r>
        <w:rPr>
          <w:rFonts w:hint="eastAsia"/>
        </w:rPr>
        <w:t>45</w:t>
      </w:r>
      <w:r>
        <w:t>,000,000 (VAT 별도)</w:t>
      </w:r>
    </w:p>
    <w:p>
      <w:pPr>
        <w:spacing w:before="40"/>
      </w:pPr>
      <w:r>
        <w:rPr>
          <w:b/>
          <w:bCs/>
        </w:rPr>
        <w:t xml:space="preserve">제작 </w:t>
      </w:r>
      <w:r>
        <w:rPr>
          <w:b/>
          <w:bCs/>
        </w:rPr>
        <w:t>기간 :</w:t>
      </w:r>
      <w:r>
        <w:rPr>
          <w:b/>
          <w:bCs/>
        </w:rPr>
        <w:t xml:space="preserve"> </w:t>
      </w:r>
      <w:r>
        <w:t xml:space="preserve">계약일로부터 </w:t>
      </w:r>
      <w:r>
        <w:rPr>
          <w:rFonts w:hint="eastAsia"/>
        </w:rPr>
        <w:t>120</w:t>
      </w:r>
      <w:r>
        <w:t>일</w:t>
      </w:r>
    </w:p>
    <w:p>
      <w:pPr>
        <w:pStyle w:val="2"/>
      </w:pPr>
      <w:r>
        <w:t>5. 수용 조건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10" w:type="dxa"/>
          <w:right w:w="10" w:type="dxa"/>
        </w:tblCellMar>
      </w:tblPr>
      <w:tblGrid>
        <w:gridCol w:w="1500"/>
        <w:gridCol w:w="2526"/>
        <w:gridCol w:w="5000"/>
      </w:tblGrid>
      <w:tr>
        <w:trPr>
          <w:tblHeader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Milestone</w:t>
            </w:r>
          </w:p>
        </w:tc>
        <w:tc>
          <w:tcPr>
            <w:tcW w:w="2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Work Module</w:t>
            </w:r>
          </w:p>
        </w:tc>
        <w:tc>
          <w:tcPr>
            <w:tcW w:w="5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Acceptance Criteria</w:t>
            </w:r>
          </w:p>
        </w:tc>
      </w:tr>
      <w:t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M1</w:t>
            </w:r>
          </w:p>
        </w:tc>
        <w:tc>
          <w:tcPr>
            <w:tcW w:w="2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rFonts w:hint="eastAsia"/>
                <w:sz w:val="20"/>
                <w:szCs w:val="20"/>
              </w:rPr>
              <w:t xml:space="preserve">PCB </w:t>
            </w:r>
            <w:r>
              <w:rPr>
                <w:rFonts w:hint="eastAsia"/>
                <w:sz w:val="20"/>
                <w:szCs w:val="20"/>
              </w:rPr>
              <w:t>제작 준비</w:t>
            </w:r>
          </w:p>
        </w:tc>
        <w:tc>
          <w:tcPr>
            <w:tcW w:w="5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발주처와 공급처가 상호 협의하여 결정</w:t>
            </w:r>
          </w:p>
        </w:tc>
      </w:tr>
      <w:t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M2</w:t>
            </w:r>
          </w:p>
        </w:tc>
        <w:tc>
          <w:tcPr>
            <w:tcW w:w="2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V</w:t>
            </w:r>
            <w:r>
              <w:rPr>
                <w:rFonts w:hint="eastAsia"/>
                <w:sz w:val="20"/>
                <w:szCs w:val="20"/>
              </w:rPr>
              <w:t>0.1.0 보드 제작</w:t>
            </w:r>
          </w:p>
        </w:tc>
        <w:tc>
          <w:tcPr>
            <w:tcW w:w="5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발주처와 공급처가 상호 협의하여 결정</w:t>
            </w:r>
          </w:p>
        </w:tc>
      </w:tr>
      <w:t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M3</w:t>
            </w:r>
          </w:p>
        </w:tc>
        <w:tc>
          <w:tcPr>
            <w:tcW w:w="2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t>V</w:t>
            </w:r>
            <w:r>
              <w:rPr>
                <w:rFonts w:hint="eastAsia"/>
              </w:rPr>
              <w:t>0.2.1 보드 제작</w:t>
            </w:r>
          </w:p>
        </w:tc>
        <w:tc>
          <w:tcPr>
            <w:tcW w:w="5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발주처와 공급처가 상호 협의하여 결정</w:t>
            </w:r>
          </w:p>
        </w:tc>
      </w:tr>
    </w:tbl>
    <w:p>
      <w:pPr>
        <w:pStyle w:val="2"/>
      </w:pPr>
      <w:r>
        <w:t>7. 보고 및 협의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 xml:space="preserve">공급자는 계약 체결 시점부터 종료 시점까지 과제의 진행현황을 발주처에 </w:t>
      </w:r>
      <w:r>
        <w:rPr>
          <w:rFonts w:hint="eastAsia"/>
        </w:rPr>
        <w:t xml:space="preserve">Event 마다 </w:t>
      </w:r>
      <w:r>
        <w:rPr>
          <w:rFonts w:hint="eastAsia"/>
        </w:rPr>
        <w:t>시작전</w:t>
      </w:r>
      <w:r>
        <w:rPr>
          <w:rFonts w:hint="eastAsia"/>
        </w:rPr>
        <w:t xml:space="preserve">/진행중/Event 후 </w:t>
      </w:r>
      <w:r>
        <w:rPr>
          <w:rFonts w:hint="eastAsia"/>
        </w:rPr>
        <w:t xml:space="preserve">정보 노티를 </w:t>
      </w:r>
      <w:r>
        <w:t>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발주처 담당자와 협의를 통해 보고주기를 변경할 수 있다.</w:t>
      </w:r>
    </w:p>
    <w:p>
      <w:pPr>
        <w:pStyle w:val="2"/>
      </w:pPr>
      <w:r>
        <w:t>8. 공급자 제공 자료</w:t>
      </w:r>
    </w:p>
    <w:p>
      <w:pPr>
        <w:spacing w:after="80" w:before="40" w:line="300" w:lineRule="auto"/>
      </w:pPr>
      <w:r>
        <w:rPr>
          <w:i/>
          <w:iCs/>
          <w:color w:val="595959"/>
          <w:sz w:val="19"/>
          <w:szCs w:val="19"/>
        </w:rPr>
        <w:t xml:space="preserve">※ </w:t>
      </w:r>
      <w:r>
        <w:rPr>
          <w:i/>
          <w:iCs/>
          <w:color w:val="595959"/>
          <w:sz w:val="19"/>
          <w:szCs w:val="19"/>
        </w:rPr>
        <w:t>텔레칩스에서</w:t>
      </w:r>
      <w:r>
        <w:rPr>
          <w:i/>
          <w:iCs/>
          <w:color w:val="595959"/>
          <w:sz w:val="19"/>
          <w:szCs w:val="19"/>
        </w:rPr>
        <w:t xml:space="preserve"> 테스트 시나리오 및 평가항목을 제공한다.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10" w:type="dxa"/>
          <w:right w:w="10" w:type="dxa"/>
        </w:tblCellMar>
      </w:tblPr>
      <w:tblGrid>
        <w:gridCol w:w="3700"/>
        <w:gridCol w:w="5326"/>
      </w:tblGrid>
      <w:tr>
        <w:trPr>
          <w:tblHeader/>
        </w:trPr>
        <w:tc>
          <w:tcPr>
            <w:tcW w:w="3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Category</w:t>
            </w:r>
          </w:p>
        </w:tc>
        <w:tc>
          <w:tcPr>
            <w:tcW w:w="53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04040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Items</w:t>
            </w:r>
          </w:p>
        </w:tc>
      </w:tr>
      <w:tr>
        <w:tc>
          <w:tcPr>
            <w:tcW w:w="3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Basic</w:t>
            </w:r>
          </w:p>
        </w:tc>
        <w:tc>
          <w:tcPr>
            <w:tcW w:w="53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sz w:val="20"/>
                <w:szCs w:val="20"/>
              </w:rPr>
              <w:t>D5-CM Module</w:t>
            </w:r>
            <w:r>
              <w:rPr>
                <w:rFonts w:hint="eastAsia"/>
                <w:sz w:val="20"/>
                <w:szCs w:val="20"/>
              </w:rPr>
              <w:t xml:space="preserve"> 제작 관련 검수 자료</w:t>
            </w:r>
          </w:p>
        </w:tc>
      </w:tr>
      <w:tr>
        <w:tc>
          <w:tcPr>
            <w:tcW w:w="370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Documents</w:t>
            </w:r>
          </w:p>
        </w:tc>
        <w:tc>
          <w:tcPr>
            <w:tcW w:w="53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rFonts w:hint="eastAsia"/>
              </w:rPr>
              <w:t>PCB</w:t>
            </w:r>
            <w:r>
              <w:rPr>
                <w:rFonts w:hint="eastAsia"/>
              </w:rPr>
              <w:t>/AOI</w:t>
            </w:r>
            <w:r>
              <w:rPr>
                <w:rFonts w:hint="eastAsia"/>
              </w:rPr>
              <w:t xml:space="preserve"> 검사 성적서</w:t>
            </w:r>
          </w:p>
        </w:tc>
      </w:tr>
      <w:tr>
        <w:tc>
          <w:tcPr>
            <w:tcW w:w="0" w:type="auto"/>
            <w:vMerge w:val="continue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/>
        </w:tc>
        <w:tc>
          <w:tcPr>
            <w:tcW w:w="53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>
            <w:r>
              <w:rPr>
                <w:rFonts w:hint="eastAsia"/>
              </w:rPr>
              <w:t>출하</w:t>
            </w:r>
            <w:r>
              <w:rPr>
                <w:rFonts w:hint="eastAsia"/>
              </w:rPr>
              <w:t xml:space="preserve"> 성적서</w:t>
            </w:r>
            <w:r>
              <w:rPr>
                <w:rFonts w:hint="eastAsia"/>
              </w:rPr>
              <w:t xml:space="preserve"> (외관, </w:t>
            </w:r>
            <w:r>
              <w:rPr>
                <w:rFonts w:hint="eastAsia"/>
              </w:rPr>
              <w:t>디멘젼</w:t>
            </w:r>
            <w:r>
              <w:rPr>
                <w:rFonts w:hint="eastAsia"/>
              </w:rPr>
              <w:t xml:space="preserve"> 포함)</w:t>
            </w:r>
          </w:p>
        </w:tc>
      </w:tr>
    </w:tbl>
    <w:p>
      <w:pPr>
        <w:pStyle w:val="2"/>
      </w:pPr>
      <w:r>
        <w:t>9. 인수확인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공급자가 발주처에게 중간/최종 산출물 전달 후, 발주처는 본 계약에 정의된 요구사항이 해당 산출물에 적용되었는지 평가를 진행한다.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공급자는 발주처가 인수테스트를 진행하는 데 필요한 지원(Sample, SW툴, Testing툴 등)을 제공해야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산출물이 요구사항을 만족하지 못할 경우 발주처는 인수를 거부할 수 있으며, 공급자는 지체 없이 원인을 확인하고 해결한 후 다시 산출물을 제출해야 한다.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재제출에 시간이 소요되는 경우 소요 기간을 먼저 발주처에 통보해야 하며, 재제출에 따른 추가비용은 발주처에 청구할 수 없다.</w:t>
      </w:r>
    </w:p>
    <w:p>
      <w:pPr>
        <w:pStyle w:val="2"/>
      </w:pPr>
      <w:r>
        <w:t>10. 공급자의 역할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공급자는 용역과제 진행에 따른 산출물 제출 시, 발주처와 인수테스트를 반드시 진행해야 한다.</w:t>
      </w:r>
    </w:p>
    <w:p>
      <w:pPr>
        <w:pStyle w:val="2"/>
      </w:pPr>
      <w:r>
        <w:t>11. 발주처의 역할</w:t>
      </w:r>
    </w:p>
    <w:p>
      <w:pPr>
        <w:pStyle w:val="a4"/>
        <w:numPr>
          <w:ilvl w:val="0"/>
          <w:numId w:val="1"/>
        </w:numPr>
        <w:spacing w:after="60" w:before="20" w:line="300" w:lineRule="auto"/>
      </w:pPr>
      <w:r>
        <w:t>텔레칩스는</w:t>
      </w:r>
      <w:r>
        <w:t xml:space="preserve"> 용역과제 진행에 따라 공급자로부터 산출물이 접수되는 경우, 산출물의 품질 확보를 위해 인수테스트를 진행해야 한다.</w:t>
      </w:r>
    </w:p>
    <w:p>
      <w:pPr>
        <w:pStyle w:val="2"/>
      </w:pPr>
      <w:r>
        <w:t>12. 보안 및 비밀유지 의무</w:t>
      </w:r>
    </w:p>
    <w:p>
      <w:pPr>
        <w:pStyle w:val="a4"/>
        <w:numPr>
          <w:ilvl w:val="0"/>
          <w:numId w:val="3"/>
        </w:numPr>
        <w:spacing w:after="60" w:before="20" w:line="300" w:lineRule="auto"/>
      </w:pPr>
      <w:r>
        <w:t>공급자는 본 과업 수행과 관련하여 취득한 모든 정보(문서, 데이터, 회의 내용 등)를 발주처의 사전 서면 승인 없이 제3자에게 누설하거나 다른 목적으로 사용할 수 없다.</w:t>
      </w:r>
    </w:p>
    <w:p>
      <w:pPr>
        <w:pStyle w:val="a4"/>
        <w:numPr>
          <w:ilvl w:val="0"/>
          <w:numId w:val="3"/>
        </w:numPr>
        <w:spacing w:after="60" w:before="20" w:line="300" w:lineRule="auto"/>
      </w:pPr>
      <w:r>
        <w:t xml:space="preserve">공급자는 </w:t>
      </w:r>
      <w:r>
        <w:t>착수계</w:t>
      </w:r>
      <w:r>
        <w:t xml:space="preserve"> 제출 시, 과업 참여 인력 전원에 대한 보안각서를 제출해야 하며, 인력 변경 시에도 동일하게 적용한다.</w:t>
      </w:r>
    </w:p>
    <w:p>
      <w:pPr>
        <w:pStyle w:val="a4"/>
        <w:numPr>
          <w:ilvl w:val="0"/>
          <w:numId w:val="3"/>
        </w:numPr>
        <w:spacing w:after="60" w:before="20" w:line="300" w:lineRule="auto"/>
      </w:pPr>
      <w:r>
        <w:t xml:space="preserve">과업 수행 중 생성된 모든 자료 및 성과품은 발주처의 보안 규정에 따라 관리되어야 하며, 불량하거나 파기된 자료는 완전히 소각 또는 </w:t>
      </w:r>
      <w:r>
        <w:t>파쇄하여야</w:t>
      </w:r>
      <w:r>
        <w:t xml:space="preserve"> 한다.</w:t>
      </w:r>
    </w:p>
    <w:p>
      <w:pPr>
        <w:pStyle w:val="a4"/>
        <w:numPr>
          <w:ilvl w:val="0"/>
          <w:numId w:val="3"/>
        </w:numPr>
        <w:spacing w:after="60" w:before="20" w:line="300" w:lineRule="auto"/>
      </w:pPr>
      <w:r>
        <w:t>본 조항을 위반하여 발주처에 손해를 끼친 경우, 공급자는 민·형사상의 모든 책임을 지며, 부정당업자 제재 등의 불이익을 감수한다.</w:t>
      </w:r>
    </w:p>
    <w:p>
      <w:pPr>
        <w:pStyle w:val="2"/>
      </w:pPr>
      <w:r>
        <w:t>13. 지식재산권 및 성과물의 소유</w:t>
      </w:r>
    </w:p>
    <w:p>
      <w:pPr>
        <w:pStyle w:val="a4"/>
        <w:numPr>
          <w:ilvl w:val="0"/>
          <w:numId w:val="4"/>
        </w:numPr>
        <w:spacing w:after="60" w:before="20" w:line="300" w:lineRule="auto"/>
      </w:pPr>
      <w:r>
        <w:t>본 과업 수행으로 인하여 발생한 결과물(보고서, 영상, 데이터, 소스코드 등 일체)에 대한 지식재산권 및 소유권은 발주처가 소유함을 원칙으로 한다.</w:t>
      </w:r>
    </w:p>
    <w:p>
      <w:pPr>
        <w:pStyle w:val="a4"/>
        <w:numPr>
          <w:ilvl w:val="0"/>
          <w:numId w:val="4"/>
        </w:numPr>
        <w:spacing w:after="60" w:before="20" w:line="300" w:lineRule="auto"/>
      </w:pPr>
      <w:r>
        <w:t>단, 본 과업 수행 이전부터 공급자가 보유하고 있던 기술이나 지식재산권은 공급자의 소유로 한다.</w:t>
      </w:r>
    </w:p>
    <w:p>
      <w:pPr>
        <w:pStyle w:val="a4"/>
        <w:numPr>
          <w:ilvl w:val="0"/>
          <w:numId w:val="4"/>
        </w:numPr>
        <w:spacing w:after="60" w:before="20" w:line="300" w:lineRule="auto"/>
      </w:pPr>
      <w:r>
        <w:t>공급자는 본 과업의 결과물이 제3자의 저작권, 초상권, 특허권 등을 침해하지 않도록 해야 하며, 이와 관련하여 분쟁이 발생할 경우 모든 법적 책임은 공급자가 진다.</w:t>
      </w:r>
    </w:p>
    <w:p>
      <w:pPr>
        <w:pStyle w:val="2"/>
      </w:pPr>
      <w:r>
        <w:t>14. 지체상금 및 계약의 해지</w:t>
      </w:r>
    </w:p>
    <w:p>
      <w:pPr>
        <w:pStyle w:val="a4"/>
        <w:numPr>
          <w:ilvl w:val="0"/>
          <w:numId w:val="5"/>
        </w:numPr>
        <w:spacing w:after="60" w:before="20" w:line="300" w:lineRule="auto"/>
      </w:pPr>
      <w:r>
        <w:t>지체상금: 공급자가 정당한 사유 없이 계약 기간 내에 과업을 완료하지 못하였을 경우, 국가계약법 및 관련 규정에 따라 지체일수 1일당 계약금액의 1000분의 1.25에 해당하는 지체상금을 납부하거나 대금에서 공제한다.</w:t>
      </w:r>
    </w:p>
    <w:p>
      <w:pPr>
        <w:pStyle w:val="a4"/>
        <w:numPr>
          <w:ilvl w:val="0"/>
          <w:numId w:val="5"/>
        </w:numPr>
        <w:spacing w:after="60" w:before="20" w:line="300" w:lineRule="auto"/>
      </w:pPr>
      <w:r>
        <w:t>계약의 해지: 발주처는 다음 각 호에 해당하는 경우 계약을 해지할 수 있다.</w:t>
      </w:r>
    </w:p>
    <w:p>
      <w:pPr>
        <w:pStyle w:val="a4"/>
        <w:numPr>
          <w:ilvl w:val="1"/>
          <w:numId w:val="1"/>
        </w:numPr>
        <w:spacing w:after="60" w:before="20" w:line="300" w:lineRule="auto"/>
      </w:pPr>
      <w:r>
        <w:t>공급자의 귀책 사유로 인하여 과업 기간 내에 과업을 완료할 가능성이 명백히 없다고 인정될 경우</w:t>
      </w:r>
    </w:p>
    <w:p>
      <w:pPr>
        <w:pStyle w:val="a4"/>
        <w:numPr>
          <w:ilvl w:val="1"/>
          <w:numId w:val="1"/>
        </w:numPr>
        <w:spacing w:after="60" w:before="20" w:line="300" w:lineRule="auto"/>
      </w:pPr>
      <w:r>
        <w:t>공급자가 정당한 사유 없이 발주처의 지시를 이행하지 않거나, 계약 조건을 중대하게 위반한 경우</w:t>
      </w:r>
    </w:p>
    <w:p>
      <w:pPr>
        <w:pStyle w:val="a4"/>
        <w:numPr>
          <w:ilvl w:val="1"/>
          <w:numId w:val="1"/>
        </w:numPr>
        <w:spacing w:after="60" w:before="20" w:line="300" w:lineRule="auto"/>
      </w:pPr>
      <w:r>
        <w:t>기타 과업 수행이 불가능하다고 인정되는 객관적인 사유가 발생한 경우</w:t>
      </w:r>
    </w:p>
    <w:sectPr>
      <w:pgSz w:w="11906" w:h="16838"/>
      <w:pgMar w:top="1440" w:right="1440" w:bottom="1440" w:left="1440" w:header="708" w:footer="708" w:gutter="0"/>
      <w:cols w:space="720"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595959"/>
        <w:sz w:val="18"/>
        <w:szCs w:val="18"/>
      </w:rPr>
      <w:t xml:space="preserve">- </w:t>
    </w:r>
    <w:r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PAGE</w:instrText>
    </w:r>
    <w:r>
      <w:rPr>
        <w:color w:val="595959"/>
        <w:sz w:val="18"/>
        <w:szCs w:val="18"/>
      </w:rPr>
      <w:fldChar w:fldCharType="separate"/>
    </w:r>
    <w:r>
      <w:rPr>
        <w:noProof/>
        <w:color w:val="595959"/>
        <w:sz w:val="18"/>
        <w:szCs w:val="18"/>
      </w:rPr>
      <w:t>1</w:t>
    </w:r>
    <w:r>
      <w:rPr>
        <w:color w:val="595959"/>
        <w:sz w:val="18"/>
        <w:szCs w:val="18"/>
      </w:rPr>
      <w:fldChar w:fldCharType="end"/>
    </w:r>
    <w:r>
      <w:rPr>
        <w:color w:val="595959"/>
        <w:sz w:val="18"/>
        <w:szCs w:val="18"/>
      </w:rPr>
      <w:t xml:space="preserve"> -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9185140"/>
    <w:multiLevelType w:val="hybridMultilevel"/>
    <w:tmpl w:val="889e9ea6"/>
    <w:lvl w:ilvl="0" w:tplc="d59af4ee">
      <w:start w:val="1"/>
      <w:numFmt w:val="bullet"/>
      <w:lvlText w:val="•"/>
      <w:lvlJc w:val="left"/>
      <w:pPr>
        <w:ind w:left="480" w:hanging="260"/>
      </w:pPr>
    </w:lvl>
    <w:lvl w:ilvl="1" w:tplc="f89286a0">
      <w:start w:val="1"/>
      <w:numFmt w:val="bullet"/>
      <w:lvlText w:val="-"/>
      <w:lvlJc w:val="left"/>
      <w:pPr>
        <w:ind w:left="880" w:hanging="260"/>
      </w:pPr>
    </w:lvl>
    <w:lvl w:ilvl="2" w:tplc="45124e56">
      <w:lvlJc w:val="left"/>
    </w:lvl>
    <w:lvl w:ilvl="3" w:tplc="a570634c">
      <w:lvlJc w:val="left"/>
    </w:lvl>
    <w:lvl w:ilvl="4" w:tplc="db5618fc">
      <w:lvlJc w:val="left"/>
    </w:lvl>
    <w:lvl w:ilvl="5" w:tplc="f482e202">
      <w:lvlJc w:val="left"/>
    </w:lvl>
    <w:lvl w:ilvl="6" w:tplc="6b6ec1a">
      <w:lvlJc w:val="left"/>
    </w:lvl>
    <w:lvl w:ilvl="7" w:tplc="34deba6c">
      <w:lvlJc w:val="left"/>
    </w:lvl>
    <w:lvl w:ilvl="8" w:tplc="507c3d36">
      <w:lvlJc w:val="left"/>
    </w:lvl>
  </w:abstractNum>
  <w:abstractNum w:abstractNumId="1">
    <w:nsid w:val="4c797d5e"/>
    <w:multiLevelType w:val="hybridMultilevel"/>
    <w:tmpl w:val="8ccce256"/>
    <w:lvl w:ilvl="0" w:tplc="7c78a57e">
      <w:start w:val="1"/>
      <w:lvlText w:val="%1."/>
      <w:lvlJc w:val="left"/>
      <w:pPr>
        <w:ind w:left="480" w:hanging="320"/>
      </w:pPr>
    </w:lvl>
    <w:lvl w:ilvl="1" w:tplc="5c48c574">
      <w:start w:val="1"/>
      <w:numFmt w:val="bullet"/>
      <w:lvlText w:val="-"/>
      <w:lvlJc w:val="left"/>
      <w:pPr>
        <w:ind w:left="880" w:hanging="260"/>
      </w:pPr>
    </w:lvl>
    <w:lvl w:ilvl="2" w:tplc="9cb8c788">
      <w:lvlJc w:val="left"/>
    </w:lvl>
    <w:lvl w:ilvl="3" w:tplc="3e0cb332">
      <w:lvlJc w:val="left"/>
    </w:lvl>
    <w:lvl w:ilvl="4" w:tplc="1e2e22d2">
      <w:lvlJc w:val="left"/>
    </w:lvl>
    <w:lvl w:ilvl="5" w:tplc="4d228580">
      <w:lvlJc w:val="left"/>
    </w:lvl>
    <w:lvl w:ilvl="6" w:tplc="f3aee594">
      <w:lvlJc w:val="left"/>
    </w:lvl>
    <w:lvl w:ilvl="7" w:tplc="f96e8db4">
      <w:lvlJc w:val="left"/>
    </w:lvl>
    <w:lvl w:ilvl="8" w:tplc="cba2c2b0">
      <w:lvlJc w:val="left"/>
    </w:lvl>
  </w:abstractNum>
  <w:abstractNum w:abstractNumId="2">
    <w:nsid w:val="62bd40d9"/>
    <w:multiLevelType w:val="hybridMultilevel"/>
    <w:tmpl w:val="3c6febc"/>
    <w:lvl w:ilvl="0" w:tplc="3da0b1c6">
      <w:start w:val="1"/>
      <w:lvlText w:val="%1."/>
      <w:lvlJc w:val="left"/>
      <w:pPr>
        <w:ind w:left="480" w:hanging="320"/>
      </w:pPr>
    </w:lvl>
    <w:lvl w:ilvl="1" w:tplc="a02065d6">
      <w:start w:val="1"/>
      <w:numFmt w:val="bullet"/>
      <w:lvlText w:val="-"/>
      <w:lvlJc w:val="left"/>
      <w:pPr>
        <w:ind w:left="880" w:hanging="260"/>
      </w:pPr>
    </w:lvl>
    <w:lvl w:ilvl="2" w:tplc="1b2ccc24">
      <w:lvlJc w:val="left"/>
    </w:lvl>
    <w:lvl w:ilvl="3" w:tplc="fda89de">
      <w:lvlJc w:val="left"/>
    </w:lvl>
    <w:lvl w:ilvl="4" w:tplc="7834ce26">
      <w:lvlJc w:val="left"/>
    </w:lvl>
    <w:lvl w:ilvl="5" w:tplc="30f8fe64">
      <w:lvlJc w:val="left"/>
    </w:lvl>
    <w:lvl w:ilvl="6" w:tplc="1110e536">
      <w:lvlJc w:val="left"/>
    </w:lvl>
    <w:lvl w:ilvl="7" w:tplc="b366b34">
      <w:lvlJc w:val="left"/>
    </w:lvl>
    <w:lvl w:ilvl="8" w:tplc="4bad2c2">
      <w:lvlJc w:val="left"/>
    </w:lvl>
  </w:abstractNum>
  <w:abstractNum w:abstractNumId="3">
    <w:nsid w:val="798d6ae1"/>
    <w:multiLevelType w:val="hybridMultilevel"/>
    <w:tmpl w:val="247c332e"/>
    <w:lvl w:ilvl="0" w:tplc="bdc4bf0e">
      <w:start w:val="1"/>
      <w:lvlText w:val="%1."/>
      <w:lvlJc w:val="left"/>
      <w:pPr>
        <w:ind w:left="480" w:hanging="320"/>
      </w:pPr>
    </w:lvl>
    <w:lvl w:ilvl="1" w:tplc="109200fc">
      <w:start w:val="1"/>
      <w:numFmt w:val="bullet"/>
      <w:lvlText w:val="-"/>
      <w:lvlJc w:val="left"/>
      <w:pPr>
        <w:ind w:left="880" w:hanging="260"/>
      </w:pPr>
    </w:lvl>
    <w:lvl w:ilvl="2" w:tplc="5b2ed3e">
      <w:lvlJc w:val="left"/>
    </w:lvl>
    <w:lvl w:ilvl="3" w:tplc="9a2fac2">
      <w:lvlJc w:val="left"/>
    </w:lvl>
    <w:lvl w:ilvl="4" w:tplc="813c5176">
      <w:lvlJc w:val="left"/>
    </w:lvl>
    <w:lvl w:ilvl="5" w:tplc="7506f940">
      <w:lvlJc w:val="left"/>
    </w:lvl>
    <w:lvl w:ilvl="6" w:tplc="bf3cee18">
      <w:lvlJc w:val="left"/>
    </w:lvl>
    <w:lvl w:ilvl="7" w:tplc="90dca9a2">
      <w:lvlJc w:val="left"/>
    </w:lvl>
    <w:lvl w:ilvl="8" w:tplc="6024dc78">
      <w:lvlJc w:val="left"/>
    </w:lvl>
  </w:abstractNum>
  <w:abstractNum w:abstractNumId="4">
    <w:nsid w:val="12b27203"/>
    <w:multiLevelType w:val="hybridMultilevel"/>
    <w:tmpl w:val="5d4226be"/>
    <w:lvl w:ilvl="0" w:tplc="ce366c16">
      <w:start w:val="1"/>
      <w:lvlText w:val="%1."/>
      <w:lvlJc w:val="left"/>
      <w:pPr>
        <w:ind w:left="480" w:hanging="320"/>
      </w:pPr>
    </w:lvl>
    <w:lvl w:ilvl="1" w:tplc="e4caca0c">
      <w:start w:val="1"/>
      <w:numFmt w:val="bullet"/>
      <w:lvlText w:val="-"/>
      <w:lvlJc w:val="left"/>
      <w:pPr>
        <w:ind w:left="880" w:hanging="260"/>
      </w:pPr>
    </w:lvl>
    <w:lvl w:ilvl="2" w:tplc="ce02be6a">
      <w:lvlJc w:val="left"/>
    </w:lvl>
    <w:lvl w:ilvl="3" w:tplc="755cda38">
      <w:lvlJc w:val="left"/>
    </w:lvl>
    <w:lvl w:ilvl="4" w:tplc="10f6fa0a">
      <w:lvlJc w:val="left"/>
    </w:lvl>
    <w:lvl w:ilvl="5" w:tplc="4824470">
      <w:lvlJc w:val="left"/>
    </w:lvl>
    <w:lvl w:ilvl="6" w:tplc="e5fc7b08">
      <w:lvlJc w:val="left"/>
    </w:lvl>
    <w:lvl w:ilvl="7" w:tplc="43e63d04">
      <w:lvlJc w:val="left"/>
    </w:lvl>
    <w:lvl w:ilvl="8" w:tplc="2e829c8e"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displayBackgroundShape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맑은 고딕" w:eastAsia="맑은 고딕" w:hAnsi="맑은 고딕" w:cs="맑은 고딕"/>
        <w:color w:val="1A1A1A"/>
        <w:sz w:val="21"/>
        <w:szCs w:val="21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6417" w:unhideWhenUsed="1"/>
    <w:lsdException w:name="toc 2" w:semiHidden="1" w:uiPriority="6417" w:unhideWhenUsed="1"/>
    <w:lsdException w:name="toc 3" w:semiHidden="1" w:uiPriority="6417" w:unhideWhenUsed="1"/>
    <w:lsdException w:name="toc 4" w:semiHidden="1" w:uiPriority="6417" w:unhideWhenUsed="1"/>
    <w:lsdException w:name="toc 5" w:semiHidden="1" w:uiPriority="6417" w:unhideWhenUsed="1"/>
    <w:lsdException w:name="toc 6" w:semiHidden="1" w:uiPriority="6417" w:unhideWhenUsed="1"/>
    <w:lsdException w:name="toc 7" w:semiHidden="1" w:uiPriority="6417" w:unhideWhenUsed="1"/>
    <w:lsdException w:name="toc 8" w:semiHidden="1" w:uiPriority="6417" w:unhideWhenUsed="1"/>
    <w:lsdException w:name="toc 9" w:semiHidden="1" w:uiPriority="641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40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0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0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906" w:qFormat="1"/>
    <w:lsdException w:name="Emphasis" w:uiPriority="163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641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570"/>
    <w:lsdException w:name="Light List" w:uiPriority="33571"/>
    <w:lsdException w:name="Light Grid" w:uiPriority="33572"/>
    <w:lsdException w:name="Medium Shading 1" w:uiPriority="33573"/>
    <w:lsdException w:name="Medium Shading 2" w:uiPriority="133192"/>
    <w:lsdException w:name="Medium List 1" w:uiPriority="133193"/>
    <w:lsdException w:name="Medium List 2" w:uiPriority="136530"/>
    <w:lsdException w:name="Medium Grid 1" w:uiPriority="136531"/>
    <w:lsdException w:name="Medium Grid 2" w:uiPriority="136562"/>
    <w:lsdException w:name="Medium Grid 3" w:uiPriority="136563"/>
    <w:lsdException w:name="Dark List" w:uiPriority="136786"/>
    <w:lsdException w:name="Colorful Shading" w:uiPriority="136787"/>
    <w:lsdException w:name="Colorful List" w:uiPriority="137064"/>
    <w:lsdException w:name="Colorful Grid" w:uiPriority="137065"/>
    <w:lsdException w:name="Light Shading Accent 1" w:uiPriority="33570"/>
    <w:lsdException w:name="Light List Accent 1" w:uiPriority="33571"/>
    <w:lsdException w:name="Light Grid Accent 1" w:uiPriority="33572"/>
    <w:lsdException w:name="Medium Shading 1 Accent 1" w:uiPriority="33573"/>
    <w:lsdException w:name="Medium Shading 2 Accent 1" w:uiPriority="133192"/>
    <w:lsdException w:name="Medium List 1 Accent 1" w:uiPriority="133193"/>
    <w:lsdException w:name="Revision" w:semiHidden="1"/>
    <w:lsdException w:name="List Paragraph" w:uiPriority="6406" w:qFormat="1"/>
    <w:lsdException w:name="Quote" w:uiPriority="5171" w:qFormat="1"/>
    <w:lsdException w:name="Intense Quote" w:uiPriority="5508" w:qFormat="1"/>
    <w:lsdException w:name="Medium List 2 Accent 1" w:uiPriority="136530"/>
    <w:lsdException w:name="Medium Grid 1 Accent 1" w:uiPriority="136531"/>
    <w:lsdException w:name="Medium Grid 2 Accent 1" w:uiPriority="136562"/>
    <w:lsdException w:name="Medium Grid 3 Accent 1" w:uiPriority="136563"/>
    <w:lsdException w:name="Dark List Accent 1" w:uiPriority="136786"/>
    <w:lsdException w:name="Colorful Shading Accent 1" w:uiPriority="136787"/>
    <w:lsdException w:name="Colorful List Accent 1" w:uiPriority="137064"/>
    <w:lsdException w:name="Colorful Grid Accent 1" w:uiPriority="137065"/>
    <w:lsdException w:name="Light Shading Accent 2" w:uiPriority="33570"/>
    <w:lsdException w:name="Light List Accent 2" w:uiPriority="33571"/>
    <w:lsdException w:name="Light Grid Accent 2" w:uiPriority="33572"/>
    <w:lsdException w:name="Medium Shading 1 Accent 2" w:uiPriority="33573"/>
    <w:lsdException w:name="Medium Shading 2 Accent 2" w:uiPriority="133192"/>
    <w:lsdException w:name="Medium List 1 Accent 2" w:uiPriority="133193"/>
    <w:lsdException w:name="Medium List 2 Accent 2" w:uiPriority="136530"/>
    <w:lsdException w:name="Medium Grid 1 Accent 2" w:uiPriority="136531"/>
    <w:lsdException w:name="Medium Grid 2 Accent 2" w:uiPriority="136562"/>
    <w:lsdException w:name="Medium Grid 3 Accent 2" w:uiPriority="136563"/>
    <w:lsdException w:name="Dark List Accent 2" w:uiPriority="136786"/>
    <w:lsdException w:name="Colorful Shading Accent 2" w:uiPriority="136787"/>
    <w:lsdException w:name="Colorful List Accent 2" w:uiPriority="137064"/>
    <w:lsdException w:name="Colorful Grid Accent 2" w:uiPriority="137065"/>
    <w:lsdException w:name="Light Shading Accent 3" w:uiPriority="33570"/>
    <w:lsdException w:name="Light List Accent 3" w:uiPriority="33571"/>
    <w:lsdException w:name="Light Grid Accent 3" w:uiPriority="33572"/>
    <w:lsdException w:name="Medium Shading 1 Accent 3" w:uiPriority="33573"/>
    <w:lsdException w:name="Medium Shading 2 Accent 3" w:uiPriority="133192"/>
    <w:lsdException w:name="Medium List 1 Accent 3" w:uiPriority="133193"/>
    <w:lsdException w:name="Medium List 2 Accent 3" w:uiPriority="136530"/>
    <w:lsdException w:name="Medium Grid 1 Accent 3" w:uiPriority="136531"/>
    <w:lsdException w:name="Medium Grid 2 Accent 3" w:uiPriority="136562"/>
    <w:lsdException w:name="Medium Grid 3 Accent 3" w:uiPriority="136563"/>
    <w:lsdException w:name="Dark List Accent 3" w:uiPriority="136786"/>
    <w:lsdException w:name="Colorful Shading Accent 3" w:uiPriority="136787"/>
    <w:lsdException w:name="Colorful List Accent 3" w:uiPriority="137064"/>
    <w:lsdException w:name="Colorful Grid Accent 3" w:uiPriority="137065"/>
    <w:lsdException w:name="Light Shading Accent 4" w:uiPriority="33570"/>
    <w:lsdException w:name="Light List Accent 4" w:uiPriority="33571"/>
    <w:lsdException w:name="Light Grid Accent 4" w:uiPriority="33572"/>
    <w:lsdException w:name="Medium Shading 1 Accent 4" w:uiPriority="33573"/>
    <w:lsdException w:name="Medium Shading 2 Accent 4" w:uiPriority="133192"/>
    <w:lsdException w:name="Medium List 1 Accent 4" w:uiPriority="133193"/>
    <w:lsdException w:name="Medium List 2 Accent 4" w:uiPriority="136530"/>
    <w:lsdException w:name="Medium Grid 1 Accent 4" w:uiPriority="136531"/>
    <w:lsdException w:name="Medium Grid 2 Accent 4" w:uiPriority="136562"/>
    <w:lsdException w:name="Medium Grid 3 Accent 4" w:uiPriority="136563"/>
    <w:lsdException w:name="Dark List Accent 4" w:uiPriority="136786"/>
    <w:lsdException w:name="Colorful Shading Accent 4" w:uiPriority="136787"/>
    <w:lsdException w:name="Colorful List Accent 4" w:uiPriority="137064"/>
    <w:lsdException w:name="Colorful Grid Accent 4" w:uiPriority="137065"/>
    <w:lsdException w:name="Light Shading Accent 5" w:uiPriority="33570"/>
    <w:lsdException w:name="Light List Accent 5" w:uiPriority="33571"/>
    <w:lsdException w:name="Light Grid Accent 5" w:uiPriority="33572"/>
    <w:lsdException w:name="Medium Shading 1 Accent 5" w:uiPriority="33573"/>
    <w:lsdException w:name="Medium Shading 2 Accent 5" w:uiPriority="133192"/>
    <w:lsdException w:name="Medium List 1 Accent 5" w:uiPriority="133193"/>
    <w:lsdException w:name="Medium List 2 Accent 5" w:uiPriority="136530"/>
    <w:lsdException w:name="Medium Grid 1 Accent 5" w:uiPriority="136531"/>
    <w:lsdException w:name="Medium Grid 2 Accent 5" w:uiPriority="136562"/>
    <w:lsdException w:name="Medium Grid 3 Accent 5" w:uiPriority="136563"/>
    <w:lsdException w:name="Dark List Accent 5" w:uiPriority="136786"/>
    <w:lsdException w:name="Colorful Shading Accent 5" w:uiPriority="136787"/>
    <w:lsdException w:name="Colorful List Accent 5" w:uiPriority="137064"/>
    <w:lsdException w:name="Colorful Grid Accent 5" w:uiPriority="137065"/>
    <w:lsdException w:name="Light Shading Accent 6" w:uiPriority="33570"/>
    <w:lsdException w:name="Light List Accent 6" w:uiPriority="33571"/>
    <w:lsdException w:name="Light Grid Accent 6" w:uiPriority="33572"/>
    <w:lsdException w:name="Medium Shading 1 Accent 6" w:uiPriority="33573"/>
    <w:lsdException w:name="Medium Shading 2 Accent 6" w:uiPriority="133192"/>
    <w:lsdException w:name="Medium List 1 Accent 6" w:uiPriority="133193"/>
    <w:lsdException w:name="Medium List 2 Accent 6" w:uiPriority="136530"/>
    <w:lsdException w:name="Medium Grid 1 Accent 6" w:uiPriority="136531"/>
    <w:lsdException w:name="Medium Grid 2 Accent 6" w:uiPriority="136562"/>
    <w:lsdException w:name="Medium Grid 3 Accent 6" w:uiPriority="136563"/>
    <w:lsdException w:name="Dark List Accent 6" w:uiPriority="136786"/>
    <w:lsdException w:name="Colorful Shading Accent 6" w:uiPriority="136787"/>
    <w:lsdException w:name="Colorful List Accent 6" w:uiPriority="137064"/>
    <w:lsdException w:name="Colorful Grid Accent 6" w:uiPriority="137065"/>
    <w:lsdException w:name="Subtle Emphasis" w:uiPriority="775" w:qFormat="1"/>
    <w:lsdException w:name="Intense Emphasis" w:uiPriority="1635" w:qFormat="1"/>
    <w:lsdException w:name="Subtle Reference" w:uiPriority="5509" w:qFormat="1"/>
    <w:lsdException w:name="Intense Reference" w:uiPriority="5684" w:qFormat="1"/>
    <w:lsdException w:name="Book Title" w:uiPriority="5685" w:qFormat="1"/>
    <w:lsdException w:name="Bibliography" w:semiHidden="1" w:uiPriority="6409" w:unhideWhenUsed="1"/>
    <w:lsdException w:name="TOC Heading" w:semiHidden="1" w:uiPriority="6417" w:unhideWhenUsed="1" w:qFormat="1"/>
    <w:lsdException w:name="Plain Table 1" w:uiPriority="20849"/>
    <w:lsdException w:name="Plain Table 2" w:uiPriority="21552"/>
    <w:lsdException w:name="Plain Table 3" w:uiPriority="21553"/>
    <w:lsdException w:name="Plain Table 4" w:uiPriority="21572"/>
    <w:lsdException w:name="Plain Table 5" w:uiPriority="21573"/>
    <w:lsdException w:name="Grid Table Light" w:uiPriority="20848"/>
    <w:lsdException w:name="Grid Table 1 Light" w:uiPriority="21652"/>
    <w:lsdException w:name="Grid Table 2" w:uiPriority="21653"/>
    <w:lsdException w:name="Grid Table 3" w:uiPriority="21768"/>
    <w:lsdException w:name="Grid Table 4" w:uiPriority="21769"/>
    <w:lsdException w:name="Grid Table 5 Dark" w:uiPriority="22148"/>
    <w:lsdException w:name="Grid Table 6 Colorful" w:uiPriority="22149"/>
    <w:lsdException w:name="Grid Table 7 Colorful" w:uiPriority="25606"/>
    <w:lsdException w:name="Grid Table 1 Light Accent 1" w:uiPriority="21652"/>
    <w:lsdException w:name="Grid Table 2 Accent 1" w:uiPriority="21653"/>
    <w:lsdException w:name="Grid Table 3 Accent 1" w:uiPriority="21768"/>
    <w:lsdException w:name="Grid Table 4 Accent 1" w:uiPriority="21769"/>
    <w:lsdException w:name="Grid Table 5 Dark Accent 1" w:uiPriority="22148"/>
    <w:lsdException w:name="Grid Table 6 Colorful Accent 1" w:uiPriority="22149"/>
    <w:lsdException w:name="Grid Table 7 Colorful Accent 1" w:uiPriority="25606"/>
    <w:lsdException w:name="Grid Table 1 Light Accent 2" w:uiPriority="21652"/>
    <w:lsdException w:name="Grid Table 2 Accent 2" w:uiPriority="21653"/>
    <w:lsdException w:name="Grid Table 3 Accent 2" w:uiPriority="21768"/>
    <w:lsdException w:name="Grid Table 4 Accent 2" w:uiPriority="21769"/>
    <w:lsdException w:name="Grid Table 5 Dark Accent 2" w:uiPriority="22148"/>
    <w:lsdException w:name="Grid Table 6 Colorful Accent 2" w:uiPriority="22149"/>
    <w:lsdException w:name="Grid Table 7 Colorful Accent 2" w:uiPriority="25606"/>
    <w:lsdException w:name="Grid Table 1 Light Accent 3" w:uiPriority="21652"/>
    <w:lsdException w:name="Grid Table 2 Accent 3" w:uiPriority="21653"/>
    <w:lsdException w:name="Grid Table 3 Accent 3" w:uiPriority="21768"/>
    <w:lsdException w:name="Grid Table 4 Accent 3" w:uiPriority="21769"/>
    <w:lsdException w:name="Grid Table 5 Dark Accent 3" w:uiPriority="22148"/>
    <w:lsdException w:name="Grid Table 6 Colorful Accent 3" w:uiPriority="22149"/>
    <w:lsdException w:name="Grid Table 7 Colorful Accent 3" w:uiPriority="25606"/>
    <w:lsdException w:name="Grid Table 1 Light Accent 4" w:uiPriority="21652"/>
    <w:lsdException w:name="Grid Table 2 Accent 4" w:uiPriority="21653"/>
    <w:lsdException w:name="Grid Table 3 Accent 4" w:uiPriority="21768"/>
    <w:lsdException w:name="Grid Table 4 Accent 4" w:uiPriority="21769"/>
    <w:lsdException w:name="Grid Table 5 Dark Accent 4" w:uiPriority="22148"/>
    <w:lsdException w:name="Grid Table 6 Colorful Accent 4" w:uiPriority="22149"/>
    <w:lsdException w:name="Grid Table 7 Colorful Accent 4" w:uiPriority="25606"/>
    <w:lsdException w:name="Grid Table 1 Light Accent 5" w:uiPriority="21652"/>
    <w:lsdException w:name="Grid Table 2 Accent 5" w:uiPriority="21653"/>
    <w:lsdException w:name="Grid Table 3 Accent 5" w:uiPriority="21768"/>
    <w:lsdException w:name="Grid Table 4 Accent 5" w:uiPriority="21769"/>
    <w:lsdException w:name="Grid Table 5 Dark Accent 5" w:uiPriority="22148"/>
    <w:lsdException w:name="Grid Table 6 Colorful Accent 5" w:uiPriority="22149"/>
    <w:lsdException w:name="Grid Table 7 Colorful Accent 5" w:uiPriority="25606"/>
    <w:lsdException w:name="Grid Table 1 Light Accent 6" w:uiPriority="21652"/>
    <w:lsdException w:name="Grid Table 2 Accent 6" w:uiPriority="21653"/>
    <w:lsdException w:name="Grid Table 3 Accent 6" w:uiPriority="21768"/>
    <w:lsdException w:name="Grid Table 4 Accent 6" w:uiPriority="21769"/>
    <w:lsdException w:name="Grid Table 5 Dark Accent 6" w:uiPriority="22148"/>
    <w:lsdException w:name="Grid Table 6 Colorful Accent 6" w:uiPriority="22149"/>
    <w:lsdException w:name="Grid Table 7 Colorful Accent 6" w:uiPriority="25606"/>
    <w:lsdException w:name="List Table 1 Light" w:uiPriority="21652"/>
    <w:lsdException w:name="List Table 2" w:uiPriority="21653"/>
    <w:lsdException w:name="List Table 3" w:uiPriority="21768"/>
    <w:lsdException w:name="List Table 4" w:uiPriority="21769"/>
    <w:lsdException w:name="List Table 5 Dark" w:uiPriority="22148"/>
    <w:lsdException w:name="List Table 6 Colorful" w:uiPriority="22149"/>
    <w:lsdException w:name="List Table 7 Colorful" w:uiPriority="25606"/>
    <w:lsdException w:name="List Table 1 Light Accent 1" w:uiPriority="21652"/>
    <w:lsdException w:name="List Table 2 Accent 1" w:uiPriority="21653"/>
    <w:lsdException w:name="List Table 3 Accent 1" w:uiPriority="21768"/>
    <w:lsdException w:name="List Table 4 Accent 1" w:uiPriority="21769"/>
    <w:lsdException w:name="List Table 5 Dark Accent 1" w:uiPriority="22148"/>
    <w:lsdException w:name="List Table 6 Colorful Accent 1" w:uiPriority="22149"/>
    <w:lsdException w:name="List Table 7 Colorful Accent 1" w:uiPriority="25606"/>
    <w:lsdException w:name="List Table 1 Light Accent 2" w:uiPriority="21652"/>
    <w:lsdException w:name="List Table 2 Accent 2" w:uiPriority="21653"/>
    <w:lsdException w:name="List Table 3 Accent 2" w:uiPriority="21768"/>
    <w:lsdException w:name="List Table 4 Accent 2" w:uiPriority="21769"/>
    <w:lsdException w:name="List Table 5 Dark Accent 2" w:uiPriority="22148"/>
    <w:lsdException w:name="List Table 6 Colorful Accent 2" w:uiPriority="22149"/>
    <w:lsdException w:name="List Table 7 Colorful Accent 2" w:uiPriority="25606"/>
    <w:lsdException w:name="List Table 1 Light Accent 3" w:uiPriority="21652"/>
    <w:lsdException w:name="List Table 2 Accent 3" w:uiPriority="21653"/>
    <w:lsdException w:name="List Table 3 Accent 3" w:uiPriority="21768"/>
    <w:lsdException w:name="List Table 4 Accent 3" w:uiPriority="21769"/>
    <w:lsdException w:name="List Table 5 Dark Accent 3" w:uiPriority="22148"/>
    <w:lsdException w:name="List Table 6 Colorful Accent 3" w:uiPriority="22149"/>
    <w:lsdException w:name="List Table 7 Colorful Accent 3" w:uiPriority="25606"/>
    <w:lsdException w:name="List Table 1 Light Accent 4" w:uiPriority="21652"/>
    <w:lsdException w:name="List Table 2 Accent 4" w:uiPriority="21653"/>
    <w:lsdException w:name="List Table 3 Accent 4" w:uiPriority="21768"/>
    <w:lsdException w:name="List Table 4 Accent 4" w:uiPriority="21769"/>
    <w:lsdException w:name="List Table 5 Dark Accent 4" w:uiPriority="22148"/>
    <w:lsdException w:name="List Table 6 Colorful Accent 4" w:uiPriority="22149"/>
    <w:lsdException w:name="List Table 7 Colorful Accent 4" w:uiPriority="25606"/>
    <w:lsdException w:name="List Table 1 Light Accent 5" w:uiPriority="21652"/>
    <w:lsdException w:name="List Table 2 Accent 5" w:uiPriority="21653"/>
    <w:lsdException w:name="List Table 3 Accent 5" w:uiPriority="21768"/>
    <w:lsdException w:name="List Table 4 Accent 5" w:uiPriority="21769"/>
    <w:lsdException w:name="List Table 5 Dark Accent 5" w:uiPriority="22148"/>
    <w:lsdException w:name="List Table 6 Colorful Accent 5" w:uiPriority="22149"/>
    <w:lsdException w:name="List Table 7 Colorful Accent 5" w:uiPriority="25606"/>
    <w:lsdException w:name="List Table 1 Light Accent 6" w:uiPriority="21652"/>
    <w:lsdException w:name="List Table 2 Accent 6" w:uiPriority="21653"/>
    <w:lsdException w:name="List Table 3 Accent 6" w:uiPriority="21768"/>
    <w:lsdException w:name="List Table 4 Accent 6" w:uiPriority="21769"/>
    <w:lsdException w:name="List Table 5 Dark Accent 6" w:uiPriority="22148"/>
    <w:lsdException w:name="List Table 6 Colorful Accent 6" w:uiPriority="22149"/>
    <w:lsdException w:name="List Table 7 Colorful Accent 6" w:uiPriority="256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">
    <w:name w:val="heading 1"/>
    <w:uiPriority w:val="9"/>
    <w:qFormat/>
    <w:pPr>
      <w:outlineLvl w:val="0"/>
      <w:pBdr>
        <w:bottom w:val="single" w:sz="8" w:space="4" w:color="000000"/>
      </w:pBdr>
      <w:spacing w:after="200" w:before="420"/>
    </w:pPr>
    <w:rPr>
      <w:b/>
      <w:bCs/>
      <w:color w:val="000000"/>
      <w:sz w:val="30"/>
      <w:szCs w:val="30"/>
    </w:rPr>
  </w:style>
  <w:style w:type="paragraph" w:styleId="2">
    <w:name w:val="heading 2"/>
    <w:uiPriority w:val="9"/>
    <w:qFormat/>
    <w:unhideWhenUsed/>
    <w:pPr>
      <w:outlineLvl w:val="1"/>
      <w:spacing w:after="120" w:before="260"/>
    </w:pPr>
    <w:rPr>
      <w:b/>
      <w:bCs/>
      <w:color w:val="262626"/>
      <w:sz w:val="23"/>
      <w:szCs w:val="23"/>
    </w:rPr>
  </w:style>
  <w:style w:type="paragraph" w:styleId="3">
    <w:name w:val="heading 3"/>
    <w:uiPriority w:val="9"/>
    <w:qFormat/>
    <w:semiHidden/>
    <w:unhideWhenUsed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qFormat/>
    <w:semiHidden/>
    <w:unhideWhenUsed/>
    <w:pPr>
      <w:outlineLvl w:val="3"/>
    </w:pPr>
    <w:rPr>
      <w:i/>
      <w:iCs/>
      <w:color w:val="2E74B5"/>
    </w:rPr>
  </w:style>
  <w:style w:type="paragraph" w:styleId="5">
    <w:name w:val="heading 5"/>
    <w:uiPriority w:val="9"/>
    <w:qFormat/>
    <w:semiHidden/>
    <w:unhideWhenUsed/>
    <w:pPr>
      <w:outlineLvl w:val="4"/>
    </w:pPr>
    <w:rPr>
      <w:color w:val="2E74B5"/>
    </w:rPr>
  </w:style>
  <w:style w:type="paragraph" w:styleId="6">
    <w:name w:val="heading 6"/>
    <w:uiPriority w:val="9"/>
    <w:qFormat/>
    <w:semiHidden/>
    <w:unhideWhenUsed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 w:color="auto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uiPriority w:val="99"/>
    <w:link w:val="Char"/>
    <w:semiHidden/>
    <w:unhideWhenUsed/>
    <w:rPr>
      <w:sz w:val="20"/>
      <w:szCs w:val="20"/>
    </w:rPr>
  </w:style>
  <w:style w:type="character" w:customStyle="1" w:styleId="Char">
    <w:name w:val="각주 텍스트 Char"/>
    <w:uiPriority w:val="99"/>
    <w:link w:val="a7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uiPriority w:val="99"/>
    <w:link w:val="Char0"/>
    <w:semiHidden/>
    <w:unhideWhenUsed/>
    <w:rPr>
      <w:sz w:val="20"/>
      <w:szCs w:val="20"/>
    </w:rPr>
  </w:style>
  <w:style w:type="character" w:customStyle="1" w:styleId="Char0">
    <w:name w:val="미주 텍스트 Char"/>
    <w:uiPriority w:val="99"/>
    <w:link w:val="a9"/>
    <w:semiHidden/>
    <w:unhideWhenUsed/>
    <w:rPr>
      <w:sz w:val="20"/>
      <w:szCs w:val="20"/>
    </w:rPr>
  </w:style>
  <w:style w:type="paragraph" w:styleId="aa">
    <w:name w:val="head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머리글 Char"/>
    <w:uiPriority w:val="99"/>
    <w:basedOn w:val="a0"/>
    <w:link w:val="aa"/>
  </w:style>
  <w:style w:type="paragraph" w:styleId="ab">
    <w:name w:val="footer"/>
    <w:uiPriority w:val="99"/>
    <w:basedOn w:val="a"/>
    <w:link w:val="Char2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바닥글 Char"/>
    <w:uiPriority w:val="99"/>
    <w:basedOn w:val="a0"/>
    <w:link w:val="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  <a:ln w="2540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sk006</cp:lastModifiedBy>
  <cp:revision>1</cp:revision>
  <dcterms:created xsi:type="dcterms:W3CDTF">2026-06-19T01:38:00Z</dcterms:created>
  <dcterms:modified xsi:type="dcterms:W3CDTF">2026-07-31T00:05:57Z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0x010100E1920FB98BA13248B6AD43753F860742</vt:lpwstr>
  </property>
  <property fmtid="{D5CDD505-2E9C-101B-9397-08002B2CF9AE}" pid="3" name="MediaServiceImageTags">
    <vt:lpwstr/>
  </property>
</Properties>
</file>