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800" w:after="160"/>
        <w:jc w:val="center"/>
      </w:pPr>
      <w:r>
        <w:rPr>
          <w:rFonts w:ascii="맑은 고딕" w:hAnsi="맑은 고딕" w:eastAsia="맑은 고딕"/>
          <w:b/>
          <w:sz w:val="44"/>
        </w:rPr>
        <w:t>2026년 스마트 생태공장 구축사업</w:t>
      </w: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44"/>
        </w:rPr>
        <w:t>인버터 로테이터 공고문 및 제안요청서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160"/>
        <w:jc w:val="center"/>
      </w:pPr>
      <w:r>
        <w:rPr>
          <w:rFonts w:ascii="맑은 고딕" w:hAnsi="맑은 고딕" w:eastAsia="맑은 고딕"/>
          <w:b/>
          <w:sz w:val="32"/>
        </w:rPr>
        <w:t>2026. 08</w:t>
      </w: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40"/>
      </w:pPr>
    </w:p>
    <w:p>
      <w:pPr>
        <w:spacing w:before="0" w:after="80"/>
        <w:jc w:val="center"/>
      </w:pPr>
      <w:r>
        <w:rPr>
          <w:rFonts w:ascii="맑은 고딕" w:hAnsi="맑은 고딕" w:eastAsia="맑은 고딕"/>
          <w:b/>
          <w:sz w:val="36"/>
        </w:rPr>
        <w:t>삼건세기(주)</w:t>
      </w:r>
    </w:p>
    <w:p>
      <w:r>
        <w:br w:type="page"/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1. 개요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개요 : 본 공고는 한국환경공단이 주관하는 “2026년 스마트 생태공장 구축사업”(국고보조금 지원사업)의 이행을 위하여, 삼건세기(주)의 친환경·고효율 설비 구축에 참여할 역량 있는 공급기업을 경쟁입찰(협상에 의한 계약)로 선정하기 위한 것임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공고명 : 삼건세기(주) 2026년 스마트 생태공장 구축사업(인버터 로테이터)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구축장소 : 경상남도 밀양시 삼랑진읍 미율로 405, 삼건세기(주) (지정장소)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구축기한 : 계약 착수일로부터 ~ 2026. 10. 31.까지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납품규격 : 물품 규격서에 따름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 방법 : 일반(총액) / 협상에 의한 계약 (전자입찰, 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사업예산 : 403,700,000원(부가가치세 포함)   /   추정가격 : 367,000,000원(부가가치세 제외)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추진일정(안)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926"/>
        <w:gridCol w:w="1926"/>
        <w:gridCol w:w="1926"/>
        <w:gridCol w:w="1926"/>
        <w:gridCol w:w="1926"/>
      </w:tblGrid>
      <w:tr>
        <w:tc>
          <w:tcPr>
            <w:tcW w:type="dxa" w:w="2835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구 분 \ 기간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8월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9월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10월</w:t>
            </w:r>
          </w:p>
        </w:tc>
        <w:tc>
          <w:tcPr>
            <w:tcW w:type="dxa" w:w="1474"/>
            <w:vAlign w:val="center"/>
            <w:shd w:val="clear" w:fill="D9E1F2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11월</w:t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설치 현장 조사 및 발주</w:t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제작 및 설치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  <w:tr>
        <w:tc>
          <w:tcPr>
            <w:tcW w:type="dxa" w:w="2835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시운전 및 준공</w:t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  <w:tc>
          <w:tcPr>
            <w:tcW w:type="dxa" w:w="1474"/>
            <w:vAlign w:val="center"/>
            <w:shd w:val="clear" w:fill="BDD7EE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</w:r>
          </w:p>
        </w:tc>
      </w:tr>
    </w:tbl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2. 입찰(개찰)방법 및 장소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입찰방식 : 전자 입찰(국내 입찰)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전자 입찰서 제출 기간 : 나라장터 입찰 공고 참고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방법 및 제출장소 : 국가종합전자조달시스템(나라장터, www.g2b.go.kr)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일시 : 제안서 평가 완료 후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개찰 장소 : 국가종합전자조달시스템(나라장터)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규격 및 일정 관련 문의 : 삼건세기(주) 사업담당자 (이메일 문의)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3. 입찰 참가 자격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조달청에 입찰 참가 자격등록을 한 업체이어야 함. 미등록 업체는 국가종합전자조달시스템 입찰 참가 자격 등록 규정에 따라 입찰 진행 전일까지 등록하고 지정 공인인증기관 인증서를 발급받아 전자입찰 등록을 하여야 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「국가를 당사자로 하는 계약에 관한 법률 시행령」 제76조 등에 따른 부정당업자 제재 중인 업체는 참여할 수 없음.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최근 결산 기준 자본전액 잠식, 국세·지방세 체납 중인 기업은 제외함.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해당 기계·설비의 제조·구매·설치 관련 요건을 갖춘 업체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4. 제출자료 (공고기한 내 일괄 제출)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가. 법인등기부등본 1부 (개인일 경우 주민등록등본 1부)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나. 사업자등록증 사본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다. 인감증명서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라. 제안서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마. 동일·유사 사업실적 증빙 서류 1부 (계약서 및 세금계산서 등)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바. 평가 시 필요한 증빙 자료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사. 에너지 절감(환경 개선) 검증 계획서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아. 사업 전/후 도면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자. 국세·지방세 완납증명서 1부, 4대보험 완납증명서 1부</w:t>
      </w:r>
    </w:p>
    <w:p>
      <w:pPr>
        <w:spacing w:after="20" w:line="276" w:lineRule="auto"/>
        <w:ind w:left="624"/>
      </w:pPr>
      <w:r>
        <w:rPr>
          <w:rFonts w:ascii="맑은 고딕" w:hAnsi="맑은 고딕" w:eastAsia="맑은 고딕"/>
          <w:b w:val="0"/>
          <w:sz w:val="21"/>
        </w:rPr>
        <w:t>차. 청렴계약 이행서약서 및 안전관리 각서 1부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제출처 : 가) 이메일 접수 : 삼건세기 (samkunok@bill36524.com)</w:t>
      </w:r>
    </w:p>
    <w:p>
      <w:pPr>
        <w:spacing w:after="20" w:line="276" w:lineRule="auto"/>
        <w:ind w:left="737"/>
      </w:pPr>
      <w:r>
        <w:rPr>
          <w:rFonts w:ascii="맑은 고딕" w:hAnsi="맑은 고딕" w:eastAsia="맑은 고딕"/>
          <w:b w:val="0"/>
          <w:sz w:val="21"/>
        </w:rPr>
        <w:t xml:space="preserve">        나) 방문 접수 : 경상남도 밀양시 삼랑진읍 미율로 405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5. 제안서 평가 및 업체선정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 참여 업체는 제안서를 작성하여 제출기한 내에 제출하여야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 서류는 평가표(첨부 1)에 의거 삼건세기(주)가 구성한 내부 선정평가위원회를 통해 평가한다.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낙찰자 결정은 “협상에 의한 계약” 방식을 준용하여, 제안서 기술평가(90%)와 가격평가(10%)를 종합한 합산점수 최고점 업체를 우선협상대상자로 선정한다.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협상적격자는 입찰가격이 사업예산(부가가치세 제외) 이하이고, 기술능력평가 점수가 기술능력평가 배점한도의 85% 이상인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입찰가격 평가(10점)는 다음 산식에 따라 산정한다.  입찰가격 평점 = 10 × (최저 입찰가격 ÷ 해당 업체의 입찰가격)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최저 입찰가격은 사업예산(부가가치세 제외) 이하로 투찰한 협상적격자 중 최저 가격을 말하며, 소수점 처리 등 세부사항은 「협상에 의한 계약체결기준」을 준용한다.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평가결과는 관련 규정 및 발주기관의 평가기준에 따라 처리하며, 개인정보·영업비밀 등 공개가 제한되는 사항은 공개하지 않을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6. 평가위원회 구성·운영 기준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본 공고의 공급기업 선정 평가는 관련 사업 관리지침 및 발주기관의 평가기준에 따라 구성된 평가위원회에서 수행한다.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평가위원회는 사업·설비에 대한 이해와 평가 역량을 갖춘 자로 구성하며, 평가의 공정성·전문성 확보를 위하여 가능한 경우 외부 전문가 1~2인을 포함한다.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위원장 1인을 포함하여 3인 이상(권장 5인)으로 구성하며, 사업·설비에 대한 이해와 평가 역량을 갖춘 자로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공정성·객관성 확보를 위해 다음을 준수한다 : ① 해당 입찰 참여업체와 친족·거래 등 이해관계가 있는 위원의 제척·회피, ② 위원의 청렴서약 및 평가내용 비밀유지, ③ 평가결과 및 선정사유의 문서화·보존.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위원회는 「스마트 생태공장 구축사업 관리지침」 별표2에 따라 입찰·비교견적 결과서(건명, 예산, 대상 업체명 및 수, 최종 선정업체 및 선정사유)를 작성하여 보존한다.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필요 시 평가의 전문성 보강을 위하여 외부 전문가를 위원으로 위촉할 수 있다.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7. 제안서 작성 시 유의사항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제안서에는 본 제안요청서(규격서 포함)에서 요구하는 모든 사항을 포함하여야 하며, 미충족 시 부적격 처리할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내용은 발주기관이 요청하지 않는 한 변경할 수 없으며, 계약체결 시 계약 조건의 일부로 간주한다.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발주기관은 제안 내용 확인을 위해 추가자료를 요구할 수 있으며, 제안 업체는 이에 응해야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제출된 제안서 및 부속서류는 반환하지 않으며, 관련 비용은 제안 업체가 부담한다.</w:t>
      </w:r>
    </w:p>
    <w:p>
      <w:pPr>
        <w:spacing w:before="260" w:after="120"/>
        <w:pBdr>
          <w:bottom w:val="single" w:sz="12" w:space="2" w:color="1F497D"/>
        </w:pBdr>
      </w:pPr>
      <w:r>
        <w:rPr>
          <w:rFonts w:ascii="맑은 고딕" w:hAnsi="맑은 고딕" w:eastAsia="맑은 고딕"/>
          <w:b/>
          <w:color w:val="1F497D"/>
          <w:sz w:val="28"/>
        </w:rPr>
        <w:t>8. 사업수행 지침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관계규정 및 사업내용서에 의거 전문지식을 최대한 활용하여 성실히 사업을 수행하여야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사업내용 및 제안요청서의 해석, 사업 범위에 이견이 발생한 경우 발주부서와 계약상대자가 협의하여 결정한다.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계약상대자는 사업기간 중 발주기관과 수시로 진행사항을 협의하고, 문제 발생 시 상호 협의하여 보완한다.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여건 변동·추가 사항 발생 시 발주기관과 협의하여 사업내용(기간 연장 등)을 변경할 수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설비 설치 공사 시 안전사고 예방을 위해 사전 교육을 실시하고 안전장비를 구비하며, 이와 관련한 책임은 계약상대자에게 있다.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1"/>
        </w:rPr>
        <w:t>• 상호 협의하에 선금·잔금의 지급 요건 충족 시 지급한다.</w:t>
      </w:r>
    </w:p>
    <w:p>
      <w:r>
        <w:br w:type="page"/>
      </w:r>
    </w:p>
    <w:p>
      <w:pPr>
        <w:spacing w:before="80" w:after="160"/>
      </w:pPr>
      <w:r>
        <w:rPr>
          <w:rFonts w:ascii="맑은 고딕" w:hAnsi="맑은 고딕" w:eastAsia="맑은 고딕"/>
          <w:b/>
          <w:sz w:val="26"/>
        </w:rPr>
        <w:t>【첨부 1】 평가 항목 기준표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304"/>
        <w:gridCol w:w="1304"/>
        <w:gridCol w:w="567"/>
        <w:gridCol w:w="5670"/>
      </w:tblGrid>
      <w:tr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평가항목</w:t>
            </w:r>
          </w:p>
        </w:tc>
        <w:tc>
          <w:tcPr>
            <w:tcW w:type="dxa" w:w="1304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평가 요소</w:t>
            </w:r>
          </w:p>
        </w:tc>
        <w:tc>
          <w:tcPr>
            <w:tcW w:type="dxa" w:w="567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배점</w:t>
            </w:r>
          </w:p>
        </w:tc>
        <w:tc>
          <w:tcPr>
            <w:tcW w:type="dxa" w:w="5669"/>
            <w:vAlign w:val="center"/>
            <w:shd w:val="clear" w:fill="1F497D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color w:val="FFFFFF"/>
                <w:sz w:val="20"/>
              </w:rPr>
              <w:t>세부 평가 방법</w:t>
            </w:r>
          </w:p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사업수행능력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설비의 객관적 성능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설비 성능을 객관적으로 검증할 수 있는 자료. 검증할 수 없는 자료는 0점으로 간주.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유사 사업실적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최근 2개년 유사 사업 관련 공사수행 실적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금액(천만)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100이상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100 ~ 10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 ~ 5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 이해도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스마트 생태공장 구축사업에 대한 이해도 및 사업 추진 능력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설비성능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(15점)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적합성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규격 적합성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설비 우수성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공장 환경 개선을 위한 스마트기술 및 설비 성능 우수성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설비도입효과검증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(30점)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타당성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20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환경 개선 효과 산출의 적정성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검증 구체성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분야별 환경개선 효과 산출의 구체성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 w:val="restart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  <w:t>사업수행계획</w:t>
            </w:r>
          </w:p>
          <w:p>
            <w:pPr>
              <w:spacing w:after="20"/>
              <w:jc w:val="center"/>
            </w:pPr>
            <w:r>
              <w:rPr>
                <w:rFonts w:ascii="맑은 고딕" w:hAnsi="맑은 고딕" w:eastAsia="맑은 고딕"/>
                <w:b/>
                <w:sz w:val="20"/>
              </w:rPr>
              <w:t>(25점)</w:t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/>
                <w:sz w:val="20"/>
              </w:rPr>
            </w:r>
          </w:p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사업수행 일정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사업수행 준비 및 일정 달성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사업관리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5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인력·조직 편성 및 관리계획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5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3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2</w:t>
                  </w:r>
                </w:p>
              </w:tc>
            </w:tr>
          </w:tbl>
          <w:p/>
        </w:tc>
      </w:tr>
      <w:tr>
        <w:tc>
          <w:tcPr>
            <w:tcW w:type="dxa" w:w="1304"/>
            <w:vMerge/>
            <w:vAlign w:val="center"/>
          </w:tcPr>
          <w:p/>
        </w:tc>
        <w:tc>
          <w:tcPr>
            <w:tcW w:type="dxa" w:w="1304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안전관리 계획</w:t>
            </w:r>
          </w:p>
        </w:tc>
        <w:tc>
          <w:tcPr>
            <w:tcW w:type="dxa" w:w="567"/>
            <w:vAlign w:val="center"/>
          </w:tcPr>
          <w:p>
            <w:pPr>
              <w:spacing w:after="20" w:before="20"/>
              <w:jc w:val="center"/>
            </w:pPr>
            <w:r/>
            <w:r>
              <w:rPr>
                <w:rFonts w:ascii="맑은 고딕" w:hAnsi="맑은 고딕" w:eastAsia="맑은 고딕"/>
                <w:b w:val="0"/>
                <w:sz w:val="20"/>
              </w:rPr>
              <w:t>10</w:t>
            </w:r>
          </w:p>
        </w:tc>
        <w:tc>
          <w:tcPr>
            <w:tcW w:type="dxa" w:w="5669"/>
            <w:vAlign w:val="center"/>
          </w:tcPr>
          <w:p>
            <w:pPr>
              <w:spacing w:after="20" w:before="20"/>
              <w:jc w:val="left"/>
            </w:pPr>
            <w:r/>
            <w:r>
              <w:rPr>
                <w:rFonts w:ascii="맑은 고딕" w:hAnsi="맑은 고딕" w:eastAsia="맑은 고딕"/>
                <w:b w:val="0"/>
                <w:sz w:val="19"/>
              </w:rPr>
              <w:t>시공 안전 관리 계획</w:t>
            </w:r>
          </w:p>
          <w:tbl>
            <w:tblPr>
              <w:tblStyle w:val="TableGrid"/>
              <w:tblLayout w:type="fixed"/>
              <w:tblLook w:firstColumn="1" w:firstRow="1" w:lastColumn="0" w:lastRow="0" w:noHBand="0" w:noVBand="1" w:val="04A0"/>
              <w:tblLayout w:type="fixed"/>
              <w:tblW w:w="5000" w:type="pct"/>
              <w:tblLayout w:type="fixed"/>
            </w:tblPr>
            <w:tblGrid>
              <w:gridCol w:w="963"/>
              <w:gridCol w:w="708"/>
              <w:gridCol w:w="708"/>
              <w:gridCol w:w="708"/>
              <w:gridCol w:w="708"/>
            </w:tblGrid>
            <w:tr>
              <w:tc>
                <w:tcPr>
                  <w:vAlign w:val="center"/>
                  <w:shd w:val="clear" w:fill="E7E6E6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적합 정도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매우 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우수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보통</w:t>
                  </w:r>
                </w:p>
              </w:tc>
              <w:tc>
                <w:tcPr>
                  <w:vAlign w:val="center"/>
                  <w:shd w:val="clear" w:fill="E7E6E6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미달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구분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A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B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C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D</w:t>
                  </w:r>
                </w:p>
              </w:tc>
            </w:tr>
            <w:tr>
              <w:tc>
                <w:tcPr>
                  <w:vAlign w:val="center"/>
                  <w:shd w:val="clear" w:fill="F2F2F2"/>
                  <w:tcW w:w="120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/>
                      <w:sz w:val="16"/>
                    </w:rPr>
                    <w:t>점수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10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7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4</w:t>
                  </w:r>
                </w:p>
              </w:tc>
              <w:tc>
                <w:tcPr>
                  <w:vAlign w:val="center"/>
                  <w:tcW w:w="950" w:type="pct"/>
                </w:tcPr>
                <w:p>
                  <w:pPr>
                    <w:spacing w:after="20" w:before="20"/>
                    <w:jc w:val="center"/>
                  </w:pPr>
                  <w:r/>
                  <w:r>
                    <w:rPr>
                      <w:rFonts w:ascii="맑은 고딕" w:hAnsi="맑은 고딕" w:eastAsia="맑은 고딕"/>
                      <w:b w:val="0"/>
                      <w:sz w:val="16"/>
                    </w:rPr>
                    <w:t>1</w:t>
                  </w:r>
                </w:p>
              </w:tc>
            </w:tr>
          </w:tbl>
          <w:p/>
        </w:tc>
      </w:tr>
    </w:tbl>
    <w:p>
      <w:pPr>
        <w:spacing w:before="160" w:after="40"/>
      </w:pPr>
      <w:r>
        <w:rPr>
          <w:rFonts w:ascii="맑은 고딕" w:hAnsi="맑은 고딕" w:eastAsia="맑은 고딕"/>
          <w:b/>
          <w:sz w:val="21"/>
        </w:rPr>
        <w:t>○ 평가 방법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평가항목 등급을 4등급(A등급 ~ D등급)으로 구분하고, 항목별 배점에 따라 등급별 점수를 부여한다.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 배점은 100점 만점으로 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평가에 참여한 모든 평가위원의 평가 점수를 평균하되 90점 만점으로 환산하고, 가격점수 10점을 합산하여 총점을 산출한다.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증빙자료를 제출하지 않거나 객관적 확인이 불가능한 경우 해당 항목은 0점으로 처리한다.</w:t>
      </w:r>
    </w:p>
    <w:p>
      <w:pPr>
        <w:spacing w:after="40" w:line="276" w:lineRule="auto"/>
        <w:ind w:left="567" w:hanging="227"/>
      </w:pPr>
      <w:r>
        <w:rPr>
          <w:rFonts w:ascii="맑은 고딕" w:hAnsi="맑은 고딕" w:eastAsia="맑은 고딕"/>
          <w:b w:val="0"/>
          <w:sz w:val="20"/>
        </w:rPr>
        <w:t>• 평가위원회는 삼건세기(주)의 자체 기준에 의거하여 공정하게 구성·운영한다.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맑은 고딕" w:hAnsi="맑은 고딕" w:eastAsia="맑은 고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