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60"/>
      </w:pPr>
      <w:r>
        <w:t>도토리팜 공고 제2026-1호</w:t>
      </w:r>
    </w:p>
    <w:p>
      <w:pPr>
        <w:jc w:val="center"/>
        <w:spacing w:after="300" w:before="120"/>
      </w:pPr>
      <w:r>
        <w:rPr>
          <w:rFonts w:ascii="함초롬바탕" w:eastAsia="함초롬바탕" w:hAnsi="함초롬바탕" w:cs="함초롬바탕"/>
          <w:b/>
          <w:bCs/>
          <w:sz w:val="34"/>
          <w:szCs w:val="34"/>
        </w:rPr>
        <w:t>공사 전자입찰 공고</w:t>
      </w:r>
    </w:p>
    <w:p>
      <w:pPr>
        <w:jc w:val="left"/>
        <w:spacing w:after="90" w:before="220" w:line="288"/>
      </w:pPr>
      <w:r>
        <w:rPr>
          <w:rFonts w:ascii="함초롬바탕" w:eastAsia="함초롬바탕" w:hAnsi="함초롬바탕" w:cs="함초롬바탕"/>
          <w:b/>
          <w:bCs/>
          <w:sz w:val="22"/>
          <w:szCs w:val="22"/>
        </w:rPr>
        <w:t>1. 입찰에 부치는 사항</w:t>
      </w:r>
    </w:p>
    <w:p>
      <w:pPr>
        <w:jc w:val="right"/>
        <w:spacing w:after="60"/>
      </w:pPr>
      <w:r>
        <w:rPr>
          <w:rFonts w:ascii="함초롬바탕" w:eastAsia="함초롬바탕" w:hAnsi="함초롬바탕" w:cs="함초롬바탕"/>
          <w:sz w:val="18"/>
          <w:szCs w:val="18"/>
        </w:rPr>
        <w:t>(단위 : 원 / 영세율 포함)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0"/>
        <w:gridCol w:w="1838"/>
        <w:gridCol w:w="1941"/>
        <w:gridCol w:w="1161"/>
        <w:gridCol w:w="1420"/>
        <w:gridCol w:w="1420"/>
        <w:gridCol w:w="706"/>
      </w:tblGrid>
      <w:tr>
        <w:trPr>
          <w:tblHeader/>
        </w:trPr>
        <w:tc>
          <w:tcPr>
            <w:tcW w:w="1130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공 사 명</w:t>
            </w:r>
          </w:p>
        </w:tc>
        <w:tc>
          <w:tcPr>
            <w:tcW w:w="1290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위 치</w:t>
            </w:r>
          </w:p>
        </w:tc>
        <w:tc>
          <w:tcPr>
            <w:tcW w:w="1548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공사개요</w:t>
            </w:r>
          </w:p>
        </w:tc>
        <w:tc>
          <w:tcPr>
            <w:tcW w:w="1161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추정금액</w:t>
            </w:r>
          </w:p>
        </w:tc>
        <w:tc>
          <w:tcPr>
            <w:tcW w:w="1420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추정가격</w:t>
            </w:r>
          </w:p>
        </w:tc>
        <w:tc>
          <w:tcPr>
            <w:tcW w:w="1420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기초금액</w:t>
            </w:r>
          </w:p>
        </w:tc>
        <w:tc>
          <w:tcPr>
            <w:tcW w:w="1100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공사기간</w:t>
            </w:r>
          </w:p>
        </w:tc>
      </w:tr>
      <w:tr>
        <w:tc>
          <w:tcPr>
            <w:tcW w:w="1130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  <w:rPr>
                <w:lang/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  <w:rtl w:val="off"/>
              </w:rPr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 xml:space="preserve">토하마을 </w:t>
            </w:r>
          </w:p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조성사업</w:t>
            </w:r>
          </w:p>
        </w:tc>
        <w:tc>
          <w:tcPr>
            <w:tcW w:w="1290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전북 김제시 금산면</w:t>
            </w:r>
          </w:p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용호리 32-9번지</w:t>
            </w:r>
          </w:p>
        </w:tc>
        <w:tc>
          <w:tcPr>
            <w:tcW w:w="1548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연동하우스 신축</w:t>
            </w:r>
          </w:p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(연면적 2,506㎡ / )</w:t>
            </w:r>
          </w:p>
        </w:tc>
        <w:tc>
          <w:tcPr>
            <w:tcW w:w="1161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237,096,473</w:t>
            </w:r>
          </w:p>
        </w:tc>
        <w:tc>
          <w:tcPr>
            <w:tcW w:w="1420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215,742,248</w:t>
            </w:r>
          </w:p>
        </w:tc>
        <w:tc>
          <w:tcPr>
            <w:tcW w:w="1420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237,096,000</w:t>
            </w:r>
          </w:p>
        </w:tc>
        <w:tc>
          <w:tcPr>
            <w:tcW w:w="1100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60일</w:t>
            </w:r>
          </w:p>
        </w:tc>
      </w:tr>
      <w:tr>
        <w:tc>
          <w:tcPr>
            <w:tcW w:w="1130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부가가치세</w:t>
            </w:r>
          </w:p>
        </w:tc>
        <w:tc>
          <w:tcPr>
            <w:tcW w:w="1290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right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21,354,225</w:t>
            </w:r>
          </w:p>
        </w:tc>
        <w:tc>
          <w:tcPr>
            <w:tcW w:w="1548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관급자재</w:t>
            </w:r>
          </w:p>
        </w:tc>
        <w:tc>
          <w:tcPr>
            <w:tcW w:w="1161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-</w:t>
            </w:r>
          </w:p>
        </w:tc>
        <w:tc>
          <w:tcPr>
            <w:tcW w:w="1420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공사유형</w:t>
            </w:r>
          </w:p>
        </w:tc>
        <w:tc>
          <w:tcPr>
            <w:tcW w:w="2520" w:type="dxa"/>
            <w:gridSpan w:val="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신설공사</w:t>
            </w:r>
          </w:p>
        </w:tc>
      </w:tr>
    </w:tbl>
    <w:p>
      <w:pPr>
        <w:jc w:val="both"/>
        <w:spacing w:after="60" w:before="0" w:line="288"/>
      </w:pPr>
    </w:p>
    <w:p>
      <w:pPr>
        <w:jc w:val="left"/>
        <w:spacing w:after="90" w:before="220" w:line="288"/>
      </w:pPr>
      <w:r>
        <w:rPr>
          <w:rFonts w:ascii="함초롬바탕" w:eastAsia="함초롬바탕" w:hAnsi="함초롬바탕" w:cs="함초롬바탕"/>
          <w:b/>
          <w:bCs/>
          <w:sz w:val="22"/>
          <w:szCs w:val="22"/>
        </w:rPr>
        <w:t>2. 입찰방법 및 계약방식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가. 총액입찰, 지역제한, 적격심사대상(기술능력평가) 공사입니다.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나. 본 공사는 김제시 보조금을 재원으로 하는 민간보조사업이며, 발주자는 도토리팜(대표 김진욱)입니다. 본 공고에 인용된 「지방자치단체를 당사자로 하는 계약에 관한 법률」 및 같은 법 시행령·시행규칙, 「지방자치단체 입찰 및 계약 집행기준」(행정안전부 예규) 등 관계 법령·예규는 발주자가 입찰의 공정성 확보를 위하여 자율적으로 준용하는 것으로, 그 자체로 본 계약에 직접 적용되는 것은 아닙니다.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다. 낙찰자(시공업체) 선정은 제6호 낙찰자 결정방법에 따릅니다.</w:t>
      </w:r>
    </w:p>
    <w:p>
      <w:pPr>
        <w:jc w:val="left"/>
        <w:spacing w:after="90" w:before="220" w:line="288"/>
      </w:pPr>
      <w:r>
        <w:rPr>
          <w:rFonts w:ascii="함초롬바탕" w:eastAsia="함초롬바탕" w:hAnsi="함초롬바탕" w:cs="함초롬바탕"/>
          <w:b/>
          <w:bCs/>
          <w:sz w:val="22"/>
          <w:szCs w:val="22"/>
        </w:rPr>
        <w:t>3. 입찰등록 및 개찰일시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0"/>
        <w:gridCol w:w="2500"/>
        <w:gridCol w:w="2500"/>
        <w:gridCol w:w="1570"/>
      </w:tblGrid>
      <w:tr>
        <w:trPr>
          <w:tblHeader/>
        </w:trPr>
        <w:tc>
          <w:tcPr>
            <w:tcW w:w="2500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입찰서제출개시일</w:t>
            </w:r>
          </w:p>
        </w:tc>
        <w:tc>
          <w:tcPr>
            <w:tcW w:w="2500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입찰등록(투찰)마감일</w:t>
            </w:r>
          </w:p>
        </w:tc>
        <w:tc>
          <w:tcPr>
            <w:tcW w:w="2500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입찰개찰일</w:t>
            </w:r>
          </w:p>
        </w:tc>
        <w:tc>
          <w:tcPr>
            <w:tcW w:w="1570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비  고</w:t>
            </w:r>
          </w:p>
        </w:tc>
      </w:tr>
      <w:tr>
        <w:tc>
          <w:tcPr>
            <w:tcW w:w="2500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2026. 09. 17.(목) 09:00</w:t>
            </w:r>
          </w:p>
        </w:tc>
        <w:tc>
          <w:tcPr>
            <w:tcW w:w="2500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2026. 09. 22.(화) 10:00</w:t>
            </w:r>
          </w:p>
        </w:tc>
        <w:tc>
          <w:tcPr>
            <w:tcW w:w="2500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2026. 09. 22.(화) 11:00</w:t>
            </w:r>
          </w:p>
        </w:tc>
        <w:tc>
          <w:tcPr>
            <w:tcW w:w="1570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</w:p>
        </w:tc>
      </w:tr>
    </w:tbl>
    <w:p>
      <w:pPr>
        <w:jc w:val="both"/>
        <w:spacing w:after="60" w:before="0" w:line="288"/>
      </w:pPr>
    </w:p>
    <w:p>
      <w:pPr>
        <w:jc w:val="left"/>
        <w:spacing w:after="90" w:before="220" w:line="288"/>
      </w:pPr>
      <w:r>
        <w:rPr>
          <w:rFonts w:ascii="함초롬바탕" w:eastAsia="함초롬바탕" w:hAnsi="함초롬바탕" w:cs="함초롬바탕"/>
          <w:b/>
          <w:bCs/>
          <w:sz w:val="22"/>
          <w:szCs w:val="22"/>
        </w:rPr>
        <w:t>4. 현장설명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가. 본 입찰은 「지방자치단체를 당사자로 하는 계약에 관한 법률 시행령」 제15조에 따른 현장설명을 실시하는 입찰이며, 현장설명에 참가하여 현장설명 참가확인서를 발급받은 자에 한하여 입찰에 참가할 수 있습니다. 현장설명에 참가하지 아니한 자가 제출한 입찰서는 무효로 합니다. 다만 현장설명 참가 여부 자체는 기술능력평가 점수에 반영하지 아니합니다.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나. 일시 : 2026. 09. 16.(수) 10:00 / 장소 : 현장 임시사무소(전북 김제시 금산면 용호리 32-9번지)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다. 배포자료 : 설계설명서, 공사시방서, 물량내역서, 기초 터파기 굴착 범위도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라. 위 다목의 자료는 공고와 동시에 나라장터 공고 첨부파일로 게시하며, 발주자에게 요청하는 경우 전자적 방법으로도 제공받을 수 있습니다. 다만 자료의 열람 또는 수령만으로는 현장설명에 참가한 것으로 보지 아니합니다.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마. 천재지변 등 부득이한 사유로 나목의 일시에 참가하지 못한 자는 그 사유를 소명하여 입찰서 제출 마감일 전날까지 발주자와 협의하여 현장설명을 받을 수 있으며, 이 경우 발주자는 나목과 동일한 내용을 설명한 후 현장설명 참가확인서를 발급합니다.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바. 현장설명 참가등록 구비서류 (현장에서 제출하며, 발주자는 접수 후 현장설명 참가확인서를 발급합니다)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(1) 입찰참가신청서 1부 (개인 또는 법인 인감증명서 첨부)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(2) 사업자등록증 사본 및 국세·지방세 완납증명서 (공고일 이후 발급분)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(3) 건설업등록증 및 등록수첩 사본 1부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(4) 국가기술자격증 사본 (원본 제시, 기술인력 참가 시)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(5) 대리인 참석 시 위임장(인감날인 후 인감증명서 첨부) 및 재직증명서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(6) 참가자 신분증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(7) 법인등기부등본 (법인에 한함)</w:t>
      </w:r>
    </w:p>
    <w:p>
      <w:pPr>
        <w:jc w:val="left"/>
        <w:spacing w:after="90" w:before="220" w:line="288"/>
      </w:pPr>
      <w:r>
        <w:rPr>
          <w:rFonts w:ascii="함초롬바탕" w:eastAsia="함초롬바탕" w:hAnsi="함초롬바탕" w:cs="함초롬바탕"/>
          <w:b/>
          <w:bCs/>
          <w:sz w:val="22"/>
          <w:szCs w:val="22"/>
        </w:rPr>
        <w:t>5. 입찰 참가자격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가. 다음 각 호의 요건을 모두 충족하고 제4호에 따른 현장설명에 참가한 업체로서, 해당 자격이 입찰일(낙찰자는 계약체결일)까지 계속 유지되어야 합니다.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(1) 공고일 전날부터 입찰일(낙찰자는 계약체결일)까지 법인등기부상 본점 소재지(개인사업자의 경우 사업자등록증 또는 관련 법령에 따른 허가·인가·면허·등록·신고 등에 관한 서류에 기재된 사업장 소재지)가 전라북도에 있는 업체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(2) 「건설산업기본법」에 따른 금속창호·지붕건축물조립공사업(주력분야 : 금속구조물·창호·온실공사) 면허를 보유한 업체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(3) 「국세징수법」 및 「지방세징수법」에 따른 체납사실이 없는 업체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나. 본 입찰은 전자입찰 입찰자 신원확인 제도가 적용되므로 개인인증서를 보유한 대표자 또는 입찰대리인만이 입찰서를 제출할 수 있습니다.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다. 본 입찰은 지문인식 신원확인 입찰이 적용되므로, 개인인증서를 보유한 대표자 또는 입찰대리인은 국가종합전자조달시스템 전자입찰특별유의서에 따라 미리 지문정보를 등록하여야 전자입찰서 제출이 가능합니다.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라. 한 업체의 대표자 중 1인이 다른 업체의 대표자를 겸임하는 경우 해당 업체들이 하나의 입찰에 동시 참여하면 동일인이 2통의 입찰서를 제출한 것으로 보아 모두 무효 처리합니다. 대표자가 여럿인 업체는 입찰참가자격 등록 시 대표자 전원을 등록하여야 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마. 업체의 상호(법인명칭) 및 대표자 성명이 변경된 경우 개찰일 전일까지 나라장터에 변경등록하고 전자입찰서를 제출하여야 하며, 변경등록 없이 제출된 입찰서는 무효 처리합니다.</w:t>
      </w:r>
    </w:p>
    <w:p>
      <w:pPr>
        <w:jc w:val="left"/>
        <w:spacing w:after="90" w:before="220" w:line="288"/>
      </w:pPr>
      <w:r>
        <w:rPr>
          <w:rFonts w:ascii="함초롬바탕" w:eastAsia="함초롬바탕" w:hAnsi="함초롬바탕" w:cs="함초롬바탕"/>
          <w:b/>
          <w:bCs/>
          <w:sz w:val="22"/>
          <w:szCs w:val="22"/>
        </w:rPr>
        <w:t>6. 낙찰자 결정방법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가. (예정가격 결정) 발주자는 기초금액(237,096,000원)의 ±3% 범위 내에서 15개의 복수예비가격을 작성하고, 입찰참가자가 추첨한 번호 중 최다 득표한 4개 예비가격의 산술평균금액을 예정가격으로 결정합니다.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나. (심사 순서) 예정가격 이하로 입찰한 자 중 최저가격으로 입찰한 자의 순서에 따라 기술능력평가를 실시합니다.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다. (낙찰자 결정) 별첨 「2026년 토하마을 조성사업(도토리팜) 기술능력평가 배점표」(80점 만점)에 따른 평가 결과, 총점이 배점 한도의 85%인 68점 이상에 최초로 도달한 자를 낙찰자로 결정합니다.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라. 최저가격 입찰자가 기준점수(68점)에 미달하는 경우 차순위 입찰자에 대하여 순차적으로 심사합니다.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마. (입찰금액 하한) 예정가격의 100분의 85 미만으로 입찰한 자의 입찰은 무효로 합니다. 이는 저가 수주에 따른 시공품질 저하 및 하도급 대금 미지급을 방지하기 위한 것입니다.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바. 동일가격으로 입찰한 자가 2인 이상인 때에는 기술능력평가 총점이 높은 자를, 그마저 동일한 경우에는 추첨으로 낙찰자를 결정합니다.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사. (평가위원회 구성) 기술능력평가위원회는 본 사업 작목반의 작목반장 1명, 작목반원 1명 및 사업주 1명 등 총 3인으로 구성합니다. 각 위원은 항목별로 독립하여 채점하며, 항목별 점수는 3인이 부여한 점수의 산술평균으로 산정합니다. 김제시 담당공무원은 평가 전 과정에 참관할 수 있습니다.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아. (제척·회피) 평가위원이 입찰참가업체의 임직원이거나 최근 3년 이내 해당 업체와 거래관계 또는 친족관계가 있는 경우에는 해당 업체에 대한 평가를 회피하여야 하며, 이 경우 나머지 위원이 부여한 점수의 산술평균으로 항목별 점수를 산정합니다.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자. (평가의 투명성) 평가위원은 정성평가 각 항목의 등급 부여 사유를 배점표의 평가사유란에 기재하여야 하며, 사유가 기재되지 아니한 채점은 무효로 합니다. 발주자는 평가 종료 후 각 입찰참가업체에 해당 업체의 항목별 점수 및 총점을 통보하며, 평가위원 명단·채점표·평가사유서는 준공일부터 5년간 보관합니다.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차. 기술제안서 기재사항에 대한 증빙서류는 제7호에 따라 입찰서 제출 시 사본으로 함께 제출하여야 하며, 낙찰예정자로 통보받은 업체는 통보일의 다음 영업일까지 해당 서류의 원본을 발주자에게 제시하여야 합니다. 원본을 제시하지 아니하거나 제출한 사본과 상이한 경우에는 낙찰자 결정을 취소하고 차순위자를 심사합니다.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카. 낙찰자는 낙찰통보일부터 3일 이내에 계약을 체결하여야 하며, 계약체결일부터 3일 이내에 착공하여야 합니다. 정당한 사유 없이 이를 이행하지 아니한 경우 낙찰을 취소하고 차순위자를 심사합니다.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타. 적격자가 없는 경우 재공고 입찰을 실시합니다.</w:t>
      </w:r>
    </w:p>
    <w:p>
      <w:pPr>
        <w:jc w:val="left"/>
        <w:spacing w:after="90" w:before="220" w:line="288"/>
      </w:pPr>
      <w:r>
        <w:rPr>
          <w:rFonts w:ascii="함초롬바탕" w:eastAsia="함초롬바탕" w:hAnsi="함초롬바탕" w:cs="함초롬바탕"/>
          <w:b/>
          <w:bCs/>
          <w:sz w:val="22"/>
          <w:szCs w:val="22"/>
        </w:rPr>
        <w:t>7. 제출서류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가. 입찰서(전자), 산출내역서(전자)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나. 기술제안서 1부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(1) 기술제안서는 별첨 배점표 정성평가 항목(연번 3~7)의 순서에 따라 다음 각 목의 내용을 포함하여 작성하여야 합니다.</w:t>
      </w:r>
    </w:p>
    <w:p>
      <w:pPr>
        <w:ind w:left="720" w:hanging="24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(가) 토공 기초 터파기 공법 및 기술성 [배점표 연번 3]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대상지 토질·지형 특성 검토 결과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굴착 및 다짐 공법, 투입 장비 계획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잔토처리 계획 및 배수대책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터파기 평면도 및 단면도 (축척 명기)</w:t>
      </w:r>
    </w:p>
    <w:p>
      <w:pPr>
        <w:ind w:left="720" w:hanging="24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(나) 대상지 환경분석 및 하우스 배치계획 [배점표 연번 4]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실측 부지경계 및 현황 분석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용수 인입경로 및 배수 여건 반영 내용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폭 7m × 길이 89.5m 4연동 배치도 (축척 명기)</w:t>
      </w:r>
    </w:p>
    <w:p>
      <w:pPr>
        <w:ind w:left="720" w:hanging="24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(다) 시공계획 및 공정관리 [배점표 연번 5]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공사기간 60일 기준 공정표 (공종별 일정 명시)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인력 및 장비 투입계획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우천·동절기 등 계절적 리스크 대응방안</w:t>
      </w:r>
    </w:p>
    <w:p>
      <w:pPr>
        <w:ind w:left="720" w:hanging="24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(라) 안전관리 및 품질관리 계획 [배점표 연번 6]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토공사 특유 위험요소(붕괴·침하 등) 식별 및 대책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품질관리 항목 및 검측계획</w:t>
      </w:r>
    </w:p>
    <w:p>
      <w:pPr>
        <w:ind w:left="720" w:hanging="24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(마) 하자보수 및 사후관리 계획 [배점표 연번 7]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골조 변형·침하, 피복 파손 등 하자유형별 대응 매뉴얼</w:t>
      </w:r>
    </w:p>
    <w:p>
      <w:pPr>
        <w:ind w:left="980" w:hanging="26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- 하자담보책임기간 및 사후관리 방안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(2) 본문은 A4 20페이지 이내로 작성하며, 도면·계산서 등 첨부자료는 매수에서 제외합니다. 이를 초과한 부분은 평가하지 아니합니다.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(3) 위 (1)의 각 목 중 누락된 항목에 대하여는 해당 평가항목에서 최하등급(E)을 부여합니다.</w:t>
      </w:r>
    </w:p>
    <w:p>
      <w:pPr>
        <w:ind w:left="460" w:hanging="22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(4) 기술제안서는 입찰서 제출 마감일시(2026. 09. 22. 10:00)까지 나라장터에 전자 제출하거나 발주자에게 직접 제출하여야 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다. 시공실적증명원(발주자 확인) 또는 건축물관리대장 (공고일부터 3개월 이내 발급 원본)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라. 신용평가등급확인서 (공고일 기준 유효한 것)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마. 국가기술자격증 사본 및 재직증명서 (기술인력 평가용)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바. 입찰보증금 지급각서, 청렴계약 이행서약서, 안전보건관리 준수 서약서, 현장설명 참가확인서 사본</w:t>
      </w:r>
    </w:p>
    <w:p>
      <w:pPr>
        <w:jc w:val="left"/>
        <w:spacing w:after="90" w:before="220" w:line="288"/>
      </w:pPr>
      <w:r>
        <w:rPr>
          <w:rFonts w:ascii="함초롬바탕" w:eastAsia="함초롬바탕" w:hAnsi="함초롬바탕" w:cs="함초롬바탕"/>
          <w:b/>
          <w:bCs/>
          <w:sz w:val="22"/>
          <w:szCs w:val="22"/>
        </w:rPr>
        <w:t>8. 입찰보증금·계약보증금 및 하자담보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가. 모든 입찰 참가자에게 입찰보증금 납부를 면제하되, 전자입찰 시 정해진 서식에 따라 송신한 “입찰보증금 지급각서”로 갈음합니다. 귀속 사유 발생 시 지방계약법령을 준용하여 도토리팜에 귀속됩니다.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나. (계약보증금) 낙찰자는 계약체결 시 계약금액의 100분의 10 이상에 해당하는 계약보증금을 납부하거나 이에 갈음하는 보증서를 제출하여야 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다. (하자담보) 하자담보책임기간은 준공검사일부터 2년으로 하며, 계약상대자는 준공 시 계약금액의 100분의 3에 해당하는 하자보수보증금을 납부하거나 이에 갈음하는 보증서를 제출하여야 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라. (지체상금) 계약상대자가 준공기한 내에 공사를 완성하지 못한 경우 지체일수 1일당 계약금액의 1,000분의 1에 해당하는 금액을 지체상금으로 납부하여야 합니다.</w:t>
      </w:r>
    </w:p>
    <w:p>
      <w:pPr>
        <w:jc w:val="left"/>
        <w:spacing w:after="90" w:before="220" w:line="288"/>
      </w:pPr>
      <w:r>
        <w:rPr>
          <w:rFonts w:ascii="함초롬바탕" w:eastAsia="함초롬바탕" w:hAnsi="함초롬바탕" w:cs="함초롬바탕"/>
          <w:b/>
          <w:bCs/>
          <w:sz w:val="22"/>
          <w:szCs w:val="22"/>
        </w:rPr>
        <w:t>9. 각종 보험료 등 사후정산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가. 본 공사는 국민건강보험료, 국민연금보험료, 노인장기요양보험료, 산업안전보건관리비 반영 대상 공사입니다.</w:t>
      </w:r>
    </w:p>
    <w:p>
      <w:pPr>
        <w:jc w:val="right"/>
        <w:spacing w:after="60"/>
      </w:pPr>
      <w:r>
        <w:rPr>
          <w:rFonts w:ascii="함초롬바탕" w:eastAsia="함초롬바탕" w:hAnsi="함초롬바탕" w:cs="함초롬바탕"/>
          <w:sz w:val="18"/>
          <w:szCs w:val="18"/>
        </w:rPr>
        <w:t>(단위 : 원)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7"/>
        <w:gridCol w:w="2267"/>
        <w:gridCol w:w="2268"/>
        <w:gridCol w:w="2268"/>
      </w:tblGrid>
      <w:tr>
        <w:trPr>
          <w:tblHeader/>
        </w:trPr>
        <w:tc>
          <w:tcPr>
            <w:tcW w:w="2267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국민건강</w:t>
            </w:r>
          </w:p>
        </w:tc>
        <w:tc>
          <w:tcPr>
            <w:tcW w:w="2267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노인장기요양</w:t>
            </w:r>
          </w:p>
        </w:tc>
        <w:tc>
          <w:tcPr>
            <w:tcW w:w="2268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국민연금</w:t>
            </w:r>
          </w:p>
        </w:tc>
        <w:tc>
          <w:tcPr>
            <w:tcW w:w="2268" w:type="dxa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center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  <w:t>산업안전보건관리비</w:t>
            </w:r>
          </w:p>
        </w:tc>
      </w:tr>
      <w:tr>
        <w:tc>
          <w:tcPr>
            <w:tcW w:w="2267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right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1,927,078</w:t>
            </w:r>
          </w:p>
        </w:tc>
        <w:tc>
          <w:tcPr>
            <w:tcW w:w="2267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right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253,218</w:t>
            </w:r>
          </w:p>
        </w:tc>
        <w:tc>
          <w:tcPr>
            <w:tcW w:w="2268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right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2,546,209</w:t>
            </w:r>
          </w:p>
        </w:tc>
        <w:tc>
          <w:tcPr>
            <w:tcW w:w="2268" w:type="dxa"/>
            <w:tcMar>
              <w:top w:w="40" w:type="dxa"/>
              <w:left w:w="60" w:type="dxa"/>
              <w:bottom w:w="40" w:type="dxa"/>
              <w:right w:w="60" w:type="dxa"/>
            </w:tcMar>
          </w:tcPr>
          <w:p>
            <w:pPr>
              <w:jc w:val="right"/>
              <w:spacing w:after="0" w:before="0" w:line="264"/>
            </w:pPr>
            <w:r>
              <w:rPr>
                <w:rFonts w:ascii="함초롬바탕" w:eastAsia="함초롬바탕" w:hAnsi="함초롬바탕" w:cs="함초롬바탕"/>
                <w:b w:val="0"/>
                <w:bCs w:val="0"/>
                <w:sz w:val="18"/>
                <w:szCs w:val="18"/>
              </w:rPr>
              <w:t>4,910,071</w:t>
            </w:r>
          </w:p>
        </w:tc>
      </w:tr>
    </w:tbl>
    <w:p>
      <w:pPr>
        <w:jc w:val="both"/>
        <w:spacing w:after="60" w:before="0" w:line="288"/>
      </w:pP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나. 입찰참가자는 입찰금액(산출내역서)을 산정할 때 예정가격에 반영된 금액을 조정 없이 그대로 반영하여야 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다. 국민건강보험료, 노인장기요양보험료, 국민연금보험료는 「지방자치단체 입찰 및 계약 집행기준」(행정안전부 예규) 규정에 의거 기성대가 및 준공대가 지급 시 사후정산을 하여야 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라. 산업안전보건관리비는 「건설업 산업안전보건관리비 계상 및 사용기준」(고용노동부 고시) 규정에 따르며, 제8조에 따라 정산하여야 합니다.</w:t>
      </w:r>
    </w:p>
    <w:p>
      <w:pPr>
        <w:jc w:val="left"/>
        <w:spacing w:after="90" w:before="220" w:line="288"/>
      </w:pPr>
      <w:r>
        <w:rPr>
          <w:rFonts w:ascii="함초롬바탕" w:eastAsia="함초롬바탕" w:hAnsi="함초롬바탕" w:cs="함초롬바탕"/>
          <w:b/>
          <w:bCs/>
          <w:sz w:val="22"/>
          <w:szCs w:val="22"/>
        </w:rPr>
        <w:t>10. 안전 및 보건 확보 의무 이행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가. 본 입찰의 계약상대자는 「중대재해 처벌 등에 관한 법률」에 따라 종사자의 안전·보건상 유해 또는 위험을 방지하고, 그 이용자 또는 그 밖의 사람의 생명, 신체의 안전을 위하여 아래와 같이 조치사항을 이행하여야 합니다.</w:t>
      </w:r>
    </w:p>
    <w:p>
      <w:pPr>
        <w:jc w:val="center"/>
        <w:spacing w:after="60" w:before="100"/>
      </w:pPr>
      <w:r>
        <w:rPr>
          <w:rFonts w:ascii="함초롬바탕" w:eastAsia="함초롬바탕" w:hAnsi="함초롬바탕" w:cs="함초롬바탕"/>
          <w:b/>
          <w:bCs/>
          <w:sz w:val="20"/>
          <w:szCs w:val="20"/>
        </w:rPr>
        <w:t>&lt; 안전 및 보건확보 의무사항 &gt;</w:t>
      </w:r>
    </w:p>
    <w:p>
      <w:pPr>
        <w:ind w:left="460"/>
        <w:jc w:val="left"/>
        <w:spacing w:after="30" w:before="0" w:line="288"/>
      </w:pPr>
      <w:r>
        <w:t>① 재해예방에 필요한 인력 및 예산 등 안전보건관리체계의 구축 및 이행·조치</w:t>
      </w:r>
    </w:p>
    <w:p>
      <w:pPr>
        <w:ind w:left="460"/>
        <w:jc w:val="left"/>
        <w:spacing w:after="30" w:before="0" w:line="288"/>
      </w:pPr>
      <w:r>
        <w:t>② 재해 발생 시 재발방지 대책의 수립 및 그 이행에 관한 조치</w:t>
      </w:r>
    </w:p>
    <w:p>
      <w:pPr>
        <w:ind w:left="460"/>
        <w:jc w:val="left"/>
        <w:spacing w:after="30" w:before="0" w:line="288"/>
      </w:pPr>
      <w:r>
        <w:t>③ 중앙행정기관·지방자치단체가 관계 법령에 따라 개선, 시정 등을 명한 사항의 이행에 관한 조치</w:t>
      </w:r>
    </w:p>
    <w:p>
      <w:pPr>
        <w:ind w:left="460"/>
        <w:jc w:val="left"/>
        <w:spacing w:after="30" w:before="0" w:line="288"/>
      </w:pPr>
      <w:r>
        <w:t>④ 안전·보건 관계 법령에 따른 의무이행에 필요한 관리상의 조치</w:t>
      </w:r>
    </w:p>
    <w:p>
      <w:pPr>
        <w:jc w:val="both"/>
        <w:spacing w:after="60" w:before="0" w:line="288"/>
      </w:pP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나. 입찰에 참가하고자 하는 자는 중대재해 예방을 위한 &lt;안전보건관리 준수 서약서&gt;를 숙지한 후 입찰에 응하여야 하며, 낙찰예정자는 계약체결 시 대표자가 서명한 서약서를 제출하여야 합니다.</w:t>
      </w:r>
    </w:p>
    <w:p>
      <w:pPr>
        <w:jc w:val="left"/>
        <w:spacing w:after="90" w:before="220" w:line="288"/>
      </w:pPr>
      <w:r>
        <w:rPr>
          <w:rFonts w:ascii="함초롬바탕" w:eastAsia="함초롬바탕" w:hAnsi="함초롬바탕" w:cs="함초롬바탕"/>
          <w:b/>
          <w:bCs/>
          <w:sz w:val="22"/>
          <w:szCs w:val="22"/>
        </w:rPr>
        <w:t>11. 기타사항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가. 입찰자는 지방자치단체 입찰 시 낙찰자 결정기준, 지방자치단체 입찰 및 계약 집행기준(입찰유의서, 계약 일반조건, 전자입찰 이용자 약관, 전자입찰 사용자 안내서, 공고문)을 숙지하고, 공사현장 및 설계도면을 필히 열람·확인한 후 입찰에 참가하여야 하며, 이를 확인하지 못하여 발생하는 모든 문제의 책임은 입찰참가자에게 있으며 발주자에게 어떠한 이의도 제기할 수 없습니다.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나. 본 공사는 민간보조사업으로 보조기관(김제시)의 자금배정에 따라 공사완료 후 공사비를 지불함을 원칙으로 합니다.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다. 전자입찰 참가 희망업체의 전산장비 준비 부족 등의 사유로 전자입찰등록 및 투찰이 곤란한 경우에는 투찰시간 마감 24시간 이전에 국가종합전자조달시스템 콜센터(☎1588-0800)로 문의하여 주시기 바라며, 문의를 하지 않아 발생하는 모든 책임은 입찰참가자에게 있습니다.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라. 본 공사에 대한 전자입찰 진행상황 및 최종낙찰자 조회 등은 국가종합전자조달시스템 홈페이지(http://www.g2b.go.kr)를 이용하시기 바랍니다.</w:t>
      </w:r>
    </w:p>
    <w:p>
      <w:pPr>
        <w:ind w:left="200" w:hanging="200"/>
        <w:jc w:val="both"/>
        <w:spacing w:after="60" w:before="0" w:line="288"/>
      </w:pPr>
      <w:r>
        <w:rPr>
          <w:rFonts w:ascii="함초롬바탕" w:eastAsia="함초롬바탕" w:hAnsi="함초롬바탕" w:cs="함초롬바탕"/>
          <w:b w:val="0"/>
          <w:bCs w:val="0"/>
          <w:sz w:val="20"/>
          <w:szCs w:val="20"/>
        </w:rPr>
        <w:t>마. 계약상대자는 인지세법에서 규정한 바에 따라 인지세를 납부하고 수입인지를 민간보조사업자에게 제출하여야 합니다.</w:t>
      </w:r>
    </w:p>
    <w:p>
      <w:pPr>
        <w:ind w:left="200" w:hanging="200"/>
        <w:jc w:val="both"/>
        <w:spacing w:after="60" w:before="0" w:line="288"/>
      </w:pPr>
    </w:p>
    <w:p>
      <w:pPr>
        <w:jc w:val="center"/>
        <w:spacing w:after="240" w:before="500"/>
      </w:pPr>
      <w:r>
        <w:rPr>
          <w:rFonts w:ascii="함초롬바탕" w:eastAsia="함초롬바탕" w:hAnsi="함초롬바탕" w:cs="함초롬바탕"/>
          <w:sz w:val="22"/>
          <w:szCs w:val="22"/>
        </w:rPr>
        <w:t>2026.        .        .</w:t>
      </w:r>
    </w:p>
    <w:p>
      <w:pPr>
        <w:jc w:val="center"/>
        <w:spacing w:after="60"/>
      </w:pPr>
      <w:r>
        <w:rPr>
          <w:rFonts w:ascii="함초롬바탕" w:eastAsia="함초롬바탕" w:hAnsi="함초롬바탕" w:cs="함초롬바탕"/>
          <w:b/>
          <w:bCs/>
          <w:sz w:val="26"/>
          <w:szCs w:val="26"/>
        </w:rPr>
        <w:t>도 토 리 팜   대표  김 진 욱</w:t>
      </w:r>
    </w:p>
    <w:p>
      <w:pPr>
        <w:jc w:val="center"/>
      </w:pPr>
    </w:p>
    <w:sectPr>
      <w:pgSz w:w="11906" w:h="16838"/>
      <w:pgMar w:top="1000" w:right="1100" w:bottom="1000" w:left="1100" w:header="708" w:footer="708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displayBackgroundShape/>
  <w:bordersDontSurroundHeader/>
  <w:bordersDontSurroundFooter/>
  <w:hideGrammaticalErrors/>
  <w:proofState w:spelling="clean" w:grammar="clean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함초롬바탕" w:eastAsia="함초롬바탕" w:hAnsi="함초롬바탕" w:cs="함초롬바탕"/>
        <w:sz w:val="20"/>
        <w:szCs w:val="20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styleId="Title">
    <w:name w:val="Title"/>
    <w:next w:val="Title"/>
    <w:qFormat/>
    <w:rPr>
      <w:sz w:val="56"/>
      <w:szCs w:val="56"/>
    </w:rPr>
  </w:style>
  <w:style w:type="paragraph" w:customStyle="1" w:styleId="Heading1">
    <w:name w:val="Heading 1"/>
    <w:next w:val="Title"/>
    <w:qFormat/>
    <w:rPr>
      <w:color w:val="2E74B5"/>
      <w:sz w:val="32"/>
      <w:szCs w:val="32"/>
    </w:rPr>
  </w:style>
  <w:style w:type="paragraph" w:customStyle="1" w:styleId="Heading2">
    <w:name w:val="Heading 2"/>
    <w:next w:val="Title"/>
    <w:qFormat/>
    <w:rPr>
      <w:color w:val="2E74B5"/>
      <w:sz w:val="26"/>
      <w:szCs w:val="26"/>
    </w:rPr>
  </w:style>
  <w:style w:type="paragraph" w:customStyle="1" w:styleId="Heading3">
    <w:name w:val="Heading 3"/>
    <w:next w:val="Title"/>
    <w:qFormat/>
    <w:rPr>
      <w:color w:val="1F4D78"/>
      <w:sz w:val="24"/>
      <w:szCs w:val="24"/>
    </w:rPr>
  </w:style>
  <w:style w:type="paragraph" w:customStyle="1" w:styleId="Heading4">
    <w:name w:val="Heading 4"/>
    <w:next w:val="Title"/>
    <w:qFormat/>
    <w:rPr>
      <w:i/>
      <w:iCs/>
      <w:color w:val="2E74B5"/>
    </w:rPr>
  </w:style>
  <w:style w:type="paragraph" w:customStyle="1" w:styleId="Heading5">
    <w:name w:val="Heading 5"/>
    <w:next w:val="Title"/>
    <w:qFormat/>
    <w:rPr>
      <w:color w:val="2E74B5"/>
    </w:rPr>
  </w:style>
  <w:style w:type="paragraph" w:customStyle="1" w:styleId="Heading6">
    <w:name w:val="Heading 6"/>
    <w:next w:val="Title"/>
    <w:qFormat/>
    <w:rPr>
      <w:color w:val="1F4D78"/>
    </w:rPr>
  </w:style>
  <w:style w:type="paragraph" w:styleId="Strong">
    <w:name w:val="Strong"/>
    <w:next w:val="Title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 w:color="auto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uiPriority w:val="99"/>
    <w:link w:val="FootnoteTextChar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uiPriority w:val="99"/>
    <w:link w:val="FootnoteText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uiPriority w:val="99"/>
    <w:link w:val="EndnoteTextChar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uiPriority w:val="99"/>
    <w:link w:val="EndnoteText"/>
    <w:semiHidden/>
    <w:unhideWhenUsed/>
    <w:rPr>
      <w:sz w:val="20"/>
      <w:szCs w:val="20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USER</cp:lastModifiedBy>
  <cp:revision>1</cp:revision>
  <dcterms:modified xsi:type="dcterms:W3CDTF">2026-09-11T06:13:35Z</dcterms:modified>
  <cp:version>1100.0100.01</cp:version>
</cp:coreProperties>
</file>