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jc w:val="right"/>
        <w:spacing w:after="80" w:line="276" w:lineRule="auto"/>
        <w:rPr>
          <w:color w:val="000000"/>
        </w:rPr>
      </w:pPr>
      <w:r>
        <w:rPr>
          <w:color w:val="000000"/>
        </w:rPr>
        <w:t>주식회사 낭만상회 공고 제2026-01호</w:t>
      </w:r>
    </w:p>
    <w:p>
      <w:pPr>
        <w:spacing w:after="60" w:line="276" w:lineRule="auto"/>
        <w:rPr>
          <w:color w:val="000000"/>
        </w:rPr>
      </w:pPr>
    </w:p>
    <w:p>
      <w:pPr>
        <w:jc w:val="center"/>
        <w:spacing w:after="120" w:line="276" w:lineRule="auto"/>
        <w:rPr>
          <w:color w:val="000000"/>
        </w:rPr>
      </w:pPr>
      <w:r>
        <w:rPr>
          <w:b/>
          <w:bCs/>
          <w:color w:val="000000"/>
          <w:sz w:val="36"/>
          <w:szCs w:val="36"/>
        </w:rPr>
        <w:t xml:space="preserve">입  찰  공  고</w:t>
      </w:r>
    </w:p>
    <w:p>
      <w:pPr>
        <w:jc w:val="center"/>
        <w:spacing w:after="60" w:line="276" w:lineRule="auto"/>
        <w:rPr>
          <w:color w:val="000000"/>
        </w:rPr>
      </w:pPr>
      <w:r>
        <w:rPr>
          <w:b/>
          <w:bCs/>
          <w:color w:val="000000"/>
          <w:sz w:val="22"/>
          <w:szCs w:val="22"/>
        </w:rPr>
        <w:t xml:space="preserve">「2026년 AI 청년창업기업 동반성장 바우처 지원사업」에 따른 용역 입찰</w:t>
      </w:r>
    </w:p>
    <w:p>
      <w:pPr>
        <w:jc w:val="center"/>
        <w:spacing w:after="200" w:line="276" w:lineRule="auto"/>
        <w:rPr>
          <w:color w:val="000000"/>
        </w:rPr>
      </w:pPr>
      <w:r>
        <w:rPr>
          <w:color w:val="000000"/>
          <w:sz w:val="22"/>
          <w:szCs w:val="22"/>
        </w:rPr>
        <w:t>외식업 특화 LLM 기반 AI Agent 시스템 통합·안정화·운영지원 용역</w:t>
      </w:r>
    </w:p>
    <w:p>
      <w:pPr>
        <w:spacing w:after="160" w:line="300" w:lineRule="auto"/>
        <w:rPr>
          <w:color w:val="000000"/>
        </w:rPr>
      </w:pPr>
      <w:r>
        <w:rPr>
          <w:color w:val="000000"/>
        </w:rPr>
        <w:t xml:space="preserve">주식회사 낭만상회는 과학기술정보통신부·정보통신산업진흥원(NIPA) 「2026년 AI 청년창업기업 동반성장 바우처 지원사업」 협약에 따라 정부지원금으로 집행하는 아래 용역의 계약상대자를 선정하기 위하여, 같은 사업의 「일반용역비 집행 가이드」에서 정한 절차에 따라 나라장터(국가종합전자조달시스템)를 통한 경쟁입찰(협상에 의한 계약)에 부치고자 다음과 같이 공고합니다.</w:t>
      </w:r>
    </w:p>
    <w:p>
      <w:pPr>
        <w:spacing w:after="100" w:before="240"/>
        <w:rPr>
          <w:color w:val="000000"/>
        </w:rPr>
      </w:pPr>
      <w:r>
        <w:rPr>
          <w:b/>
          <w:bCs/>
          <w:color w:val="000000"/>
          <w:sz w:val="24"/>
          <w:szCs w:val="24"/>
        </w:rPr>
        <w:t>1. 입찰에 부치는 사항</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ellMar>
          <w:left w:w="10" w:type="dxa"/>
          <w:right w:w="10" w:type="dxa"/>
        </w:tblCellMar>
      </w:tblPr>
      <w:tblGrid>
        <w:gridCol w:w="2070"/>
        <w:gridCol w:w="6930"/>
      </w:tblGrid>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수요기관(발주자)</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주식회사 낭만상회</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용 역 명</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외식업 특화 LLM 기반 AI Agent 시스템 통합·안정화·운영지원 용역</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사업근거</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rPr>
            </w:pPr>
            <w:r>
              <w:rPr>
                <w:color w:val="000000"/>
                <w:sz w:val="18"/>
                <w:szCs w:val="18"/>
              </w:rPr>
              <w:t>「2026년 AI 청년창업기업 동반성장 바우처 지원사업」</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사업예산</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b/>
                <w:color w:val="000000"/>
                <w:sz w:val="18"/>
                <w:szCs w:val="18"/>
              </w:rPr>
              <w:t xml:space="preserve">일금 오천만원(₩50,000,000) 이내 - 부가가치세 포함 · 추정가격(부가가치세 제외) 45,454,545원</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계약기간</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b/>
                <w:color w:val="000000"/>
                <w:sz w:val="18"/>
                <w:szCs w:val="18"/>
              </w:rPr>
              <w:t xml:space="preserve">계약체결일(2026. 10. 20. 예정) ~ 2026. 12. 18.(금) - 최종 검수 요청은 2026. 11. 27.(금)까지, 과업기간 내 최종 검수(재검수 포함) 완료 및 상위 협약 종료일(2026. 12. 31.) 이전 정산</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과업장소</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 xml:space="preserve">비상주(원격) 수행 원칙 </w:t>
            </w:r>
            <w:r>
              <w:rPr>
                <w:lang w:eastAsia="ko-KR"/>
                <w:color w:val="000000"/>
                <w:sz w:val="18"/>
                <w:szCs w:val="18"/>
                <w:rtl w:val="off"/>
              </w:rPr>
              <w:t>-</w:t>
            </w:r>
            <w:r>
              <w:rPr>
                <w:color w:val="000000"/>
                <w:sz w:val="18"/>
                <w:szCs w:val="18"/>
              </w:rPr>
              <w:t xml:space="preserve"> 발주자는 수시로 진행상황 점검 회의를 소집할 수 있음</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입찰방법</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제한경쟁입찰 (소기업·소상공인·벤처기업·창업기업 제한, 지역 제한 없음)</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계약방법</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협상에 의한 계약 (총액 입찰)</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입찰방식</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나라장터(www.g2b.go.kr) 전자입찰</w:t>
            </w:r>
          </w:p>
        </w:tc>
      </w:tr>
    </w:tbl>
    <w:p>
      <w:pPr>
        <w:spacing w:after="60" w:line="276" w:lineRule="auto"/>
        <w:rPr>
          <w:color w:val="000000"/>
        </w:rPr>
      </w:pPr>
    </w:p>
    <w:p>
      <w:pPr>
        <w:spacing w:after="60" w:line="276" w:lineRule="auto"/>
        <w:rPr>
          <w:color w:val="000000"/>
        </w:rPr>
      </w:pPr>
      <w:r>
        <w:rPr>
          <w:b/>
          <w:bCs/>
          <w:color w:val="000000"/>
          <w:sz w:val="21"/>
          <w:szCs w:val="21"/>
        </w:rPr>
        <w:t>가. 사업내용 (요약)</w:t>
      </w:r>
    </w:p>
    <w:p>
      <w:pPr>
        <w:ind w:left="600"/>
        <w:spacing w:after="80" w:line="276" w:lineRule="auto"/>
        <w:rPr>
          <w:color w:val="000000"/>
        </w:rPr>
      </w:pPr>
      <w:r>
        <w:rPr>
          <w:color w:val="000000"/>
        </w:rPr>
        <w:t xml:space="preserve">1) 발주자 지정 600매장 POS 및 </w:t>
      </w:r>
      <w:r>
        <w:rPr>
          <w:rFonts w:hint="eastAsia"/>
          <w:color w:val="000000"/>
        </w:rPr>
        <w:t>배달</w:t>
      </w:r>
      <w:r>
        <w:rPr>
          <w:color w:val="000000"/>
        </w:rPr>
        <w:t>3사(배민·쿠팡이츠·요기요) 시스템의 데이터 연동 안정화, 정합성 검증 룰 적용, 이상 데이터 감지·알림 체계 구축</w:t>
      </w:r>
    </w:p>
    <w:p>
      <w:pPr>
        <w:ind w:left="600"/>
        <w:spacing w:after="80" w:line="276" w:lineRule="auto"/>
        <w:rPr>
          <w:color w:val="000000"/>
        </w:rPr>
      </w:pPr>
      <w:r>
        <w:rPr>
          <w:color w:val="000000"/>
        </w:rPr>
        <w:t>2) 통합·부하·보안 테스트</w:t>
      </w:r>
    </w:p>
    <w:p>
      <w:pPr>
        <w:ind w:left="600"/>
        <w:spacing w:after="80" w:line="276" w:lineRule="auto"/>
        <w:rPr>
          <w:color w:val="000000"/>
        </w:rPr>
      </w:pPr>
      <w:r>
        <w:rPr>
          <w:color w:val="000000"/>
        </w:rPr>
        <w:t>3) 본사·가맹점주 2개 사용자 유형</w:t>
      </w:r>
      <w:r>
        <w:rPr>
          <w:rFonts w:hint="eastAsia"/>
          <w:color w:val="000000"/>
        </w:rPr>
        <w:t>별</w:t>
      </w:r>
      <w:r>
        <w:rPr>
          <w:color w:val="000000"/>
        </w:rPr>
        <w:t xml:space="preserve"> 웹 인터페이스 커스터마이징 및 AI Agent 챗 임베드</w:t>
      </w:r>
    </w:p>
    <w:p>
      <w:pPr>
        <w:ind w:left="600"/>
        <w:spacing w:after="80" w:line="276" w:lineRule="auto"/>
        <w:rPr>
          <w:color w:val="000000"/>
        </w:rPr>
      </w:pPr>
      <w:r>
        <w:rPr>
          <w:color w:val="000000"/>
        </w:rPr>
        <w:t xml:space="preserve">4) RBAC 기반 계정·권한 관리 및 통합 인증 연계, </w:t>
      </w:r>
      <w:r>
        <w:rPr>
          <w:rFonts w:hint="eastAsia"/>
          <w:color w:val="000000"/>
        </w:rPr>
        <w:t>감사</w:t>
      </w:r>
      <w:r>
        <w:rPr>
          <w:color w:val="000000"/>
        </w:rPr>
        <w:t xml:space="preserve"> 로그(90일 이상 보관) 체계 적용</w:t>
      </w:r>
    </w:p>
    <w:p>
      <w:pPr>
        <w:ind w:left="600"/>
        <w:spacing w:after="80" w:line="276" w:lineRule="auto"/>
        <w:rPr>
          <w:color w:val="000000"/>
        </w:rPr>
      </w:pPr>
      <w:r>
        <w:rPr>
          <w:color w:val="000000"/>
        </w:rPr>
        <w:t>5) 사용자 교육 (</w:t>
      </w:r>
      <w:r>
        <w:rPr>
          <w:rFonts w:hint="eastAsia"/>
          <w:color w:val="000000"/>
        </w:rPr>
        <w:t>본사</w:t>
      </w:r>
      <w:r>
        <w:rPr>
          <w:color w:val="000000"/>
        </w:rPr>
        <w:t xml:space="preserve"> 10명·파일럿 가맹점주 30명, 오프라인 2회 + 온라인 콘텐츠)</w:t>
      </w:r>
    </w:p>
    <w:p>
      <w:pPr>
        <w:ind w:left="600"/>
        <w:spacing w:after="80" w:line="276" w:lineRule="auto"/>
        <w:rPr>
          <w:color w:val="000000"/>
        </w:rPr>
      </w:pPr>
      <w:r>
        <w:rPr>
          <w:color w:val="000000"/>
        </w:rPr>
        <w:t xml:space="preserve">6) </w:t>
      </w:r>
      <w:r>
        <w:rPr>
          <w:rFonts w:hint="eastAsia"/>
          <w:color w:val="000000"/>
        </w:rPr>
        <w:t>운영</w:t>
      </w:r>
      <w:r>
        <w:rPr>
          <w:color w:val="000000"/>
        </w:rPr>
        <w:t xml:space="preserve"> 스테이지 서비스 개시일 ~ 2026. 12. 18. SLA 관리·운영지원(장애 1차 응답 영업일 기준 4시간·복구 </w:t>
      </w:r>
      <w:r>
        <w:rPr>
          <w:rFonts w:hint="eastAsia"/>
          <w:color w:val="000000"/>
        </w:rPr>
        <w:t>영업일</w:t>
      </w:r>
      <w:r>
        <w:rPr>
          <w:color w:val="000000"/>
        </w:rPr>
        <w:t xml:space="preserve"> 기준 24시간 이내 목표, 외부 서비스 원인 장애 제외), 월간 SLA 리포트 제출 및 사용자 문의 대응(1선 헬프데스크)</w:t>
      </w:r>
    </w:p>
    <w:p>
      <w:pPr>
        <w:ind w:left="600"/>
        <w:spacing w:after="80" w:line="276" w:lineRule="auto"/>
        <w:rPr>
          <w:color w:val="000000"/>
        </w:rPr>
      </w:pPr>
      <w:r>
        <w:rPr>
          <w:color w:val="000000"/>
        </w:rPr>
        <w:t xml:space="preserve">7) </w:t>
      </w:r>
      <w:r>
        <w:rPr>
          <w:rFonts w:hint="eastAsia"/>
          <w:color w:val="000000"/>
        </w:rPr>
        <w:t>산출물</w:t>
      </w:r>
      <w:r>
        <w:rPr>
          <w:color w:val="000000"/>
        </w:rPr>
        <w:t xml:space="preserve"> 인계 및 발주자 담당자 대상 기술 이전 세션(2회, 각 2시간 이상) 실시, </w:t>
      </w:r>
      <w:r>
        <w:rPr>
          <w:rFonts w:hint="eastAsia"/>
          <w:color w:val="000000"/>
        </w:rPr>
        <w:t>검수</w:t>
      </w:r>
      <w:r>
        <w:rPr>
          <w:color w:val="000000"/>
        </w:rPr>
        <w:t xml:space="preserve"> 완료 후 12개월 무상 하자보수 지원</w:t>
      </w:r>
    </w:p>
    <w:p>
      <w:pPr>
        <w:ind w:left="300"/>
        <w:spacing w:after="80" w:line="276" w:lineRule="auto"/>
        <w:rPr>
          <w:color w:val="000000"/>
        </w:rPr>
      </w:pPr>
      <w:r>
        <w:rPr>
          <w:color w:val="000000"/>
          <w:sz w:val="18"/>
          <w:szCs w:val="18"/>
        </w:rPr>
        <w:t xml:space="preserve">※ AI Agent 코어(RAG·Function Calling·프롬프트) 개발, 코퍼스 구축, RAGAS 튜닝 등은 발주자 자체 수행으로 과업 범위에서 제외됨. 세부 범위는 제안요청서 Ⅰ.3 참조</w:t>
      </w:r>
    </w:p>
    <w:p>
      <w:pPr>
        <w:keepNext/>
        <w:spacing w:after="60" w:line="276" w:lineRule="auto"/>
        <w:rPr>
          <w:color w:val="000000"/>
        </w:rPr>
      </w:pPr>
      <w:r>
        <w:rPr>
          <w:b/>
          <w:bCs/>
          <w:color w:val="000000"/>
          <w:sz w:val="21"/>
          <w:szCs w:val="21"/>
        </w:rPr>
        <w:t>나. 부가가치세</w:t>
      </w:r>
    </w:p>
    <w:p>
      <w:pPr>
        <w:ind w:left="300"/>
        <w:spacing w:after="80" w:line="276" w:lineRule="auto"/>
        <w:rPr>
          <w:color w:val="000000"/>
        </w:rPr>
      </w:pPr>
      <w:r>
        <w:rPr>
          <w:color w:val="000000"/>
        </w:rPr>
        <w:t>입찰금액은 부가가치세 포함 총액으로 하며, 면세사업자는 부가가치세 상당액을 포함</w:t>
      </w:r>
      <w:r>
        <w:rPr>
          <w:rFonts w:hint="eastAsia"/>
          <w:color w:val="000000"/>
        </w:rPr>
        <w:t>하여</w:t>
      </w:r>
      <w:r>
        <w:rPr>
          <w:color w:val="000000"/>
        </w:rPr>
        <w:t xml:space="preserve"> 입찰함</w:t>
      </w:r>
    </w:p>
    <w:p>
      <w:pPr>
        <w:spacing w:after="100" w:before="240"/>
        <w:rPr>
          <w:color w:val="000000"/>
        </w:rPr>
      </w:pPr>
      <w:r>
        <w:rPr>
          <w:b/>
          <w:bCs/>
          <w:color w:val="000000"/>
          <w:sz w:val="24"/>
          <w:szCs w:val="24"/>
        </w:rPr>
        <w:t>2. 입찰 및 계약방법</w:t>
      </w:r>
    </w:p>
    <w:p>
      <w:pPr>
        <w:ind w:left="300"/>
        <w:spacing w:after="80" w:line="276" w:lineRule="auto"/>
        <w:rPr>
          <w:color w:val="000000"/>
        </w:rPr>
      </w:pPr>
      <w:r>
        <w:rPr>
          <w:color w:val="000000"/>
        </w:rPr>
        <w:t>가. 제한경쟁입찰 · 협상에 의한 계약 · 나라장터 전자입찰</w:t>
      </w:r>
    </w:p>
    <w:p>
      <w:pPr>
        <w:ind w:left="300"/>
        <w:spacing w:after="80" w:line="276" w:lineRule="auto"/>
        <w:rPr>
          <w:color w:val="000000"/>
        </w:rPr>
      </w:pPr>
      <w:r>
        <w:rPr>
          <w:color w:val="000000"/>
        </w:rPr>
        <w:t xml:space="preserve">나. 낙찰자 결정 : 기술능력평가(정성 80점 + 정량 10점 = 90점)와 가격평가(10점)를 합산한 종합평점 순으로 협상적격자를 선정하고, 협상이 성립한 자를 낙찰자로 결정함</w:t>
      </w:r>
    </w:p>
    <w:p>
      <w:pPr>
        <w:ind w:left="300"/>
        <w:spacing w:after="80" w:line="276" w:lineRule="auto"/>
        <w:rPr>
          <w:color w:val="000000"/>
        </w:rPr>
      </w:pPr>
      <w:r>
        <w:rPr>
          <w:color w:val="000000"/>
        </w:rPr>
        <w:t xml:space="preserve">다. </w:t>
      </w:r>
      <w:r>
        <w:rPr>
          <w:b/>
          <w:color w:val="000000"/>
        </w:rPr>
        <w:t xml:space="preserve">협상적격자 : 기술능력평가 90점 만점 기준 76.5점(85%) 이상 득점자</w:t>
      </w:r>
    </w:p>
    <w:p>
      <w:pPr>
        <w:ind w:left="300"/>
        <w:spacing w:after="80" w:line="276" w:lineRule="auto"/>
        <w:rPr>
          <w:color w:val="000000"/>
        </w:rPr>
      </w:pPr>
      <w:r>
        <w:rPr>
          <w:color w:val="000000"/>
        </w:rPr>
        <w:t xml:space="preserve">라. 적용 기준 : 본 공고문, 제안요청서 및 「2026년 AI 청년창업기업 동반성장 바우처 지원사업」 일반용역비 집행 가이드. 이에 정하지 아니한 사항은 「국가를 당사자로 하는 계약에 관한 법률」 관계 법령 및 계약예규 「협상에 의한 계약체결기준」의 취지를 준용함</w:t>
      </w:r>
    </w:p>
    <w:p>
      <w:pPr>
        <w:spacing w:after="100" w:before="240"/>
        <w:rPr>
          <w:color w:val="000000"/>
        </w:rPr>
      </w:pPr>
      <w:r>
        <w:rPr>
          <w:b/>
          <w:bCs/>
          <w:color w:val="000000"/>
          <w:sz w:val="24"/>
          <w:szCs w:val="24"/>
        </w:rPr>
        <w:t>3. 입찰참가자격</w:t>
      </w:r>
    </w:p>
    <w:p>
      <w:pPr>
        <w:ind w:left="300"/>
        <w:spacing w:after="80" w:line="276" w:lineRule="auto"/>
        <w:rPr>
          <w:color w:val="000000"/>
        </w:rPr>
      </w:pPr>
      <w:r>
        <w:rPr>
          <w:color w:val="000000"/>
        </w:rPr>
        <w:t>가. 다음의 요건을 모두 갖춘 자</w:t>
      </w:r>
    </w:p>
    <w:p>
      <w:pPr>
        <w:ind w:left="600"/>
        <w:spacing w:after="80" w:line="276" w:lineRule="auto"/>
        <w:rPr>
          <w:color w:val="000000"/>
        </w:rPr>
      </w:pPr>
      <w:r>
        <w:rPr>
          <w:color w:val="000000"/>
        </w:rPr>
        <w:t xml:space="preserve">1) 「국가종합전자조달시스템 입찰참가자격등록규정」에 따라 </w:t>
      </w:r>
      <w:r>
        <w:rPr>
          <w:b/>
          <w:color w:val="000000"/>
        </w:rPr>
        <w:t>전자입찰서 제출 마감일 전일까지</w:t>
      </w:r>
      <w:r>
        <w:rPr>
          <w:color w:val="000000"/>
        </w:rPr>
        <w:t xml:space="preserve"> 소프트웨어사업자(컴퓨터관련서비스사업, 업종코드 1468)로 입찰참가자격을 등록한 자</w:t>
      </w:r>
    </w:p>
    <w:p>
      <w:pPr>
        <w:ind w:left="600"/>
        <w:spacing w:after="80" w:line="276" w:lineRule="auto"/>
        <w:rPr>
          <w:color w:val="000000"/>
        </w:rPr>
      </w:pPr>
      <w:r>
        <w:rPr>
          <w:color w:val="000000"/>
        </w:rPr>
        <w:t xml:space="preserve">2) 소기업·소상공인·벤처기업·창업기업으로서 이를 증명하는 </w:t>
      </w:r>
      <w:r>
        <w:rPr>
          <w:b/>
          <w:color w:val="000000"/>
        </w:rPr>
        <w:t xml:space="preserve">확인서(6.가 No.3)</w:t>
      </w:r>
      <w:r>
        <w:rPr>
          <w:color w:val="000000"/>
        </w:rPr>
        <w:t xml:space="preserve">를 소지한 자(「국가를 당사자로 하는 계약에 관한 법률 시행령」 제21조제1항제10호가목 준용)</w:t>
      </w:r>
    </w:p>
    <w:p>
      <w:pPr>
        <w:ind w:left="300"/>
        <w:spacing w:after="80" w:line="276" w:lineRule="auto"/>
        <w:rPr>
          <w:color w:val="000000"/>
        </w:rPr>
      </w:pPr>
      <w:r>
        <w:rPr>
          <w:color w:val="000000"/>
        </w:rPr>
        <w:t>나. 다음의 어느 하나에 해당하는 자는 참가할 수 없음</w:t>
      </w:r>
    </w:p>
    <w:p>
      <w:pPr>
        <w:ind w:left="600"/>
        <w:spacing w:after="80" w:line="276" w:lineRule="auto"/>
        <w:rPr>
          <w:color w:val="000000"/>
        </w:rPr>
      </w:pPr>
      <w:r>
        <w:rPr>
          <w:color w:val="000000"/>
        </w:rPr>
        <w:t>1) 「국가를 당사자로 하는 계약에 관한 법률 시행령」 제76조에 따른 부정당업자 입찰참가자격 제한 기간 중인 자</w:t>
      </w:r>
    </w:p>
    <w:p>
      <w:pPr>
        <w:ind w:left="600"/>
        <w:spacing w:after="80" w:line="276" w:lineRule="auto"/>
        <w:rPr>
          <w:color w:val="000000"/>
        </w:rPr>
      </w:pPr>
      <w:r>
        <w:rPr>
          <w:color w:val="000000"/>
        </w:rPr>
        <w:t>2) 입찰공고일 기준 국세·지방세 또는 4대 사회보험료를 체납 중인 자</w:t>
      </w:r>
    </w:p>
    <w:p>
      <w:pPr>
        <w:ind w:left="600"/>
        <w:spacing w:after="80" w:line="276" w:lineRule="auto"/>
        <w:rPr>
          <w:color w:val="000000"/>
        </w:rPr>
      </w:pPr>
      <w:r>
        <w:rPr>
          <w:color w:val="000000"/>
        </w:rPr>
        <w:t>3) 파산·회생·해산 절차가 진행 중이거나 휴업·폐업 상태인 자</w:t>
      </w:r>
    </w:p>
    <w:p>
      <w:pPr>
        <w:ind w:left="600"/>
        <w:spacing w:after="80" w:line="276" w:lineRule="auto"/>
        <w:rPr>
          <w:color w:val="000000"/>
        </w:rPr>
      </w:pPr>
      <w:r>
        <w:rPr>
          <w:color w:val="000000"/>
        </w:rPr>
        <w:t xml:space="preserve">4) 발주자의 임직원·그 배우자·직계존비속이 대표자이거나, 이들이 단독 또는 합산하여 발행주식 총수의 30% 이상·출자지분의 30% 이상·자본금의 50% 이상을 소유한 법인</w:t>
      </w:r>
    </w:p>
    <w:p>
      <w:pPr>
        <w:ind w:left="300"/>
        <w:spacing w:after="80" w:line="276" w:lineRule="auto"/>
        <w:rPr>
          <w:color w:val="000000"/>
        </w:rPr>
      </w:pPr>
      <w:r>
        <w:rPr>
          <w:rFonts w:hint="eastAsia"/>
          <w:color w:val="000000"/>
        </w:rPr>
        <w:t>※</w:t>
      </w:r>
      <w:r>
        <w:rPr>
          <w:color w:val="000000"/>
        </w:rPr>
        <w:t xml:space="preserve"> 참가자격 요건(가.) 충족 여부는 입찰참가신청서(제안요청서 붙임 1)의 확인란으로 갈음함. 요건을 하나라도 충족하지 못하거나 증빙서류 제출이 불가한 경우 부적격 처리하며, 형식적 흠결은 1회에 한하여 보완을 요구하되 결격 사유는 보완 대상에서 제외함</w:t>
      </w:r>
    </w:p>
    <w:p>
      <w:pPr>
        <w:spacing w:after="100" w:before="240"/>
        <w:rPr>
          <w:color w:val="000000"/>
        </w:rPr>
      </w:pPr>
      <w:r>
        <w:rPr>
          <w:b/>
          <w:bCs/>
          <w:color w:val="000000"/>
          <w:sz w:val="24"/>
          <w:szCs w:val="24"/>
        </w:rPr>
        <w:t>4. 공동계약 및 하도급</w:t>
      </w:r>
    </w:p>
    <w:p>
      <w:pPr>
        <w:ind w:left="300"/>
        <w:spacing w:after="80" w:line="276" w:lineRule="auto"/>
        <w:rPr>
          <w:color w:val="000000"/>
        </w:rPr>
      </w:pPr>
      <w:r>
        <w:rPr>
          <w:color w:val="000000"/>
        </w:rPr>
        <w:t xml:space="preserve">가. </w:t>
      </w:r>
      <w:r>
        <w:rPr>
          <w:b/>
          <w:color w:val="000000"/>
        </w:rPr>
        <w:t>공동수급(컨소시엄)은 허용하지 아니하며, 단독 입찰만 인정함</w:t>
      </w:r>
    </w:p>
    <w:p>
      <w:pPr>
        <w:ind w:left="300"/>
        <w:spacing w:after="80" w:line="276" w:lineRule="auto"/>
        <w:rPr>
          <w:color w:val="000000"/>
        </w:rPr>
      </w:pPr>
      <w:r>
        <w:rPr>
          <w:color w:val="000000"/>
        </w:rPr>
        <w:t xml:space="preserve">나. </w:t>
      </w:r>
      <w:r>
        <w:rPr>
          <w:b/>
          <w:color w:val="000000"/>
        </w:rPr>
        <w:t>하도급은 금지하며</w:t>
      </w:r>
      <w:r>
        <w:rPr>
          <w:color w:val="000000"/>
        </w:rPr>
        <w:t>, 계약상대자가 직접 수행하여야 함. 위반 시 계약을 해지할 수 있음</w:t>
      </w:r>
    </w:p>
    <w:p>
      <w:pPr>
        <w:spacing w:after="100" w:before="240"/>
        <w:rPr>
          <w:color w:val="000000"/>
        </w:rPr>
      </w:pPr>
      <w:r>
        <w:rPr>
          <w:b/>
          <w:bCs/>
          <w:color w:val="000000"/>
          <w:sz w:val="24"/>
          <w:szCs w:val="24"/>
        </w:rPr>
        <w:t>5. 입찰 일정</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ellMar>
          <w:left w:w="10" w:type="dxa"/>
          <w:right w:w="10" w:type="dxa"/>
        </w:tblCellMar>
      </w:tblPr>
      <w:tblGrid>
        <w:gridCol w:w="1696"/>
        <w:gridCol w:w="2977"/>
        <w:gridCol w:w="4327"/>
      </w:tblGrid>
      <w:tr>
        <w:trPr>
          <w:cantSplit/>
          <w:tblHeader/>
        </w:trPr>
        <w:tc>
          <w:tcPr>
            <w:tcW w:w="1696"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구분</w:t>
            </w:r>
          </w:p>
        </w:tc>
        <w:tc>
          <w:tcPr>
            <w:tcW w:w="2977"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일시</w:t>
            </w:r>
          </w:p>
        </w:tc>
        <w:tc>
          <w:tcPr>
            <w:tcW w:w="4327"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비고</w:t>
            </w:r>
          </w:p>
        </w:tc>
      </w:tr>
      <w:tr>
        <w:trPr>
          <w:cantSplit/>
        </w:trPr>
        <w:tc>
          <w:tcPr>
            <w:tcW w:w="169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입찰공고</w:t>
            </w:r>
          </w:p>
        </w:tc>
        <w:tc>
          <w:tcPr>
            <w:tcW w:w="297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rPr>
              <w:t xml:space="preserve">2026. 9. 29.(화)</w:t>
            </w:r>
          </w:p>
        </w:tc>
        <w:tc>
          <w:tcPr>
            <w:tcW w:w="432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p>
        </w:tc>
      </w:tr>
      <w:tr>
        <w:trPr>
          <w:cantSplit/>
        </w:trPr>
        <w:tc>
          <w:tcPr>
            <w:tcW w:w="1696" w:type="dxa"/>
            <w:tcBorders>
              <w:top w:val="single" w:sz="4" w:space="0" w:color="808080"/>
              <w:left w:val="single" w:sz="4" w:space="0" w:color="808080"/>
              <w:bottom w:val="single" w:sz="4" w:space="0" w:color="808080"/>
              <w:right w:val="single" w:sz="4" w:space="0" w:color="808080"/>
            </w:tcBorders>
          </w:tcPr>
          <w:p>
            <w:pPr>
              <w:jc w:val="center"/>
              <w:spacing w:line="260" w:lineRule="auto"/>
              <w:rPr>
                <w:color w:val="000000"/>
              </w:rPr>
            </w:pPr>
            <w:r>
              <w:rPr>
                <w:lang w:eastAsia="ko-KR"/>
                <w:color w:val="000000"/>
                <w:rtl w:val="off"/>
              </w:rPr>
              <w:t>질의접수 마감</w:t>
            </w:r>
          </w:p>
        </w:tc>
        <w:tc>
          <w:tcPr>
            <w:tcW w:w="2977" w:type="dxa"/>
            <w:tcBorders>
              <w:top w:val="single" w:sz="4" w:space="0" w:color="808080"/>
              <w:left w:val="single" w:sz="4" w:space="0" w:color="808080"/>
              <w:bottom w:val="single" w:sz="4" w:space="0" w:color="808080"/>
              <w:right w:val="single" w:sz="4" w:space="0" w:color="808080"/>
            </w:tcBorders>
          </w:tcPr>
          <w:p>
            <w:pPr>
              <w:jc w:val="center"/>
              <w:spacing w:line="260" w:lineRule="auto"/>
              <w:rPr>
                <w:color w:val="000000"/>
              </w:rPr>
            </w:pPr>
            <w:r>
              <w:rPr>
                <w:lang w:eastAsia="ko-KR"/>
                <w:color w:val="000000"/>
                <w:rtl w:val="off"/>
              </w:rPr>
              <w:t>2026. 10. 2.(금) 18:00</w:t>
            </w:r>
          </w:p>
        </w:tc>
        <w:tc>
          <w:tcPr>
            <w:tcW w:w="4327" w:type="dxa"/>
            <w:tcBorders>
              <w:top w:val="single" w:sz="4" w:space="0" w:color="808080"/>
              <w:left w:val="single" w:sz="4" w:space="0" w:color="808080"/>
              <w:bottom w:val="single" w:sz="4" w:space="0" w:color="808080"/>
              <w:right w:val="single" w:sz="4" w:space="0" w:color="808080"/>
            </w:tcBorders>
          </w:tcPr>
          <w:p>
            <w:pPr>
              <w:spacing w:line="260" w:lineRule="auto"/>
              <w:rPr>
                <w:color w:val="000000"/>
              </w:rPr>
            </w:pPr>
            <w:r>
              <w:rPr>
                <w:lang w:eastAsia="ko-KR"/>
                <w:color w:val="000000"/>
                <w:rtl w:val="off"/>
              </w:rPr>
              <w:t>이메일 접수</w:t>
            </w:r>
          </w:p>
        </w:tc>
      </w:tr>
      <w:tr>
        <w:trPr>
          <w:cantSplit/>
        </w:trPr>
        <w:tc>
          <w:tcPr>
            <w:tcW w:w="1696" w:type="dxa"/>
            <w:tcBorders>
              <w:top w:val="single" w:sz="4" w:space="0" w:color="808080"/>
              <w:left w:val="single" w:sz="4" w:space="0" w:color="808080"/>
              <w:bottom w:val="single" w:sz="4" w:space="0" w:color="808080"/>
              <w:right w:val="single" w:sz="4" w:space="0" w:color="808080"/>
            </w:tcBorders>
          </w:tcPr>
          <w:p>
            <w:pPr>
              <w:jc w:val="center"/>
              <w:spacing w:line="260" w:lineRule="auto"/>
              <w:rPr>
                <w:color w:val="000000"/>
              </w:rPr>
            </w:pPr>
            <w:r>
              <w:rPr>
                <w:lang w:eastAsia="ko-KR"/>
                <w:color w:val="000000"/>
                <w:rtl w:val="off"/>
              </w:rPr>
              <w:t>질의 회신</w:t>
            </w:r>
          </w:p>
        </w:tc>
        <w:tc>
          <w:tcPr>
            <w:tcW w:w="2977" w:type="dxa"/>
            <w:tcBorders>
              <w:top w:val="single" w:sz="4" w:space="0" w:color="808080"/>
              <w:left w:val="single" w:sz="4" w:space="0" w:color="808080"/>
              <w:bottom w:val="single" w:sz="4" w:space="0" w:color="808080"/>
              <w:right w:val="single" w:sz="4" w:space="0" w:color="808080"/>
            </w:tcBorders>
          </w:tcPr>
          <w:p>
            <w:pPr>
              <w:jc w:val="center"/>
              <w:spacing w:line="260" w:lineRule="auto"/>
              <w:rPr>
                <w:color w:val="000000"/>
              </w:rPr>
            </w:pPr>
            <w:r>
              <w:rPr>
                <w:lang w:eastAsia="ko-KR"/>
                <w:color w:val="000000"/>
                <w:rtl w:val="off"/>
              </w:rPr>
              <w:t>2026. 10. 6.(화)</w:t>
            </w:r>
          </w:p>
        </w:tc>
        <w:tc>
          <w:tcPr>
            <w:tcW w:w="4327" w:type="dxa"/>
            <w:tcBorders>
              <w:top w:val="single" w:sz="4" w:space="0" w:color="808080"/>
              <w:left w:val="single" w:sz="4" w:space="0" w:color="808080"/>
              <w:bottom w:val="single" w:sz="4" w:space="0" w:color="808080"/>
              <w:right w:val="single" w:sz="4" w:space="0" w:color="808080"/>
            </w:tcBorders>
          </w:tcPr>
          <w:p>
            <w:pPr>
              <w:spacing w:line="260" w:lineRule="auto"/>
              <w:rPr>
                <w:color w:val="000000"/>
              </w:rPr>
            </w:pPr>
            <w:r>
              <w:rPr>
                <w:lang w:eastAsia="ko-KR"/>
                <w:color w:val="000000"/>
                <w:rtl w:val="off"/>
              </w:rPr>
              <w:t>나라장터 공고 수정·</w:t>
              <w:t>첨부로 전체 공개</w:t>
            </w:r>
          </w:p>
        </w:tc>
      </w:tr>
      <w:tr>
        <w:trPr>
          <w:cantSplit/>
        </w:trPr>
        <w:tc>
          <w:tcPr>
            <w:tcW w:w="169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 xml:space="preserve">제안서 및 </w:t>
            </w:r>
            <w:r>
              <w:rPr>
                <w:rFonts w:hint="eastAsia"/>
                <w:color w:val="000000"/>
                <w:sz w:val="18"/>
                <w:szCs w:val="18"/>
              </w:rPr>
              <w:t>가격</w:t>
            </w:r>
            <w:r>
              <w:rPr>
                <w:color w:val="000000"/>
                <w:sz w:val="18"/>
                <w:szCs w:val="18"/>
              </w:rPr>
              <w:t>입찰서 제출 마감</w:t>
            </w:r>
          </w:p>
        </w:tc>
        <w:tc>
          <w:tcPr>
            <w:tcW w:w="297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b/>
                <w:color w:val="000000"/>
              </w:rPr>
              <w:t xml:space="preserve">2026. 10. 12.(월) 14:00</w:t>
            </w:r>
            <w:r>
              <w:rPr>
                <w:lang w:eastAsia="ko-KR"/>
                <w:b/>
                <w:color w:val="000000"/>
                <w:rtl w:val="off"/>
              </w:rPr>
              <w:t/>
            </w:r>
            <w:r>
              <w:rPr>
                <w:b/>
                <w:color w:val="000000"/>
              </w:rPr>
              <w:t/>
            </w:r>
          </w:p>
        </w:tc>
        <w:tc>
          <w:tcPr>
            <w:tcW w:w="432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color w:val="000000"/>
                <w:sz w:val="20"/>
                <w:szCs w:val="20"/>
              </w:rPr>
              <w:t xml:space="preserve">나라장터 전자제출 · 입찰참가자격 등록은 10. 8.(목)까지 완료 권장(10. 9.은 한글날)</w:t>
            </w:r>
          </w:p>
        </w:tc>
      </w:tr>
      <w:tr>
        <w:trPr>
          <w:cantSplit/>
        </w:trPr>
        <w:tc>
          <w:tcPr>
            <w:tcW w:w="169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제안서 평가</w:t>
            </w:r>
          </w:p>
        </w:tc>
        <w:tc>
          <w:tcPr>
            <w:tcW w:w="297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rPr>
              <w:t xml:space="preserve">2026. 10. 14.(수)</w:t>
            </w:r>
            <w:r>
              <w:rPr>
                <w:lang w:eastAsia="ko-KR"/>
                <w:color w:val="000000"/>
                <w:rtl w:val="off"/>
              </w:rPr>
              <w:t/>
            </w:r>
          </w:p>
        </w:tc>
        <w:tc>
          <w:tcPr>
            <w:tcW w:w="432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color w:val="000000"/>
                <w:sz w:val="20"/>
                <w:szCs w:val="20"/>
              </w:rPr>
              <w:t>서면·발표평가</w:t>
            </w:r>
            <w:r>
              <w:rPr>
                <w:color w:val="000000"/>
                <w:sz w:val="20"/>
                <w:szCs w:val="20"/>
              </w:rPr>
              <w:t xml:space="preserve"> </w:t>
            </w:r>
            <w:r>
              <w:rPr>
                <w:lang w:eastAsia="ko-KR"/>
                <w:color w:val="000000"/>
                <w:sz w:val="20"/>
                <w:szCs w:val="20"/>
                <w:rtl w:val="off"/>
              </w:rPr>
              <w:t>-</w:t>
            </w:r>
            <w:r>
              <w:rPr>
                <w:color w:val="000000"/>
                <w:sz w:val="20"/>
                <w:szCs w:val="20"/>
              </w:rPr>
              <w:t xml:space="preserve"> 발표 일시·장소는 개별 통보</w:t>
            </w:r>
          </w:p>
        </w:tc>
      </w:tr>
      <w:tr>
        <w:trPr>
          <w:cantSplit/>
        </w:trPr>
        <w:tc>
          <w:tcPr>
            <w:tcW w:w="169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가격 개찰</w:t>
            </w:r>
          </w:p>
        </w:tc>
        <w:tc>
          <w:tcPr>
            <w:tcW w:w="297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rPr>
              <w:t xml:space="preserve">2026. 10. 14.(수)</w:t>
            </w:r>
            <w:r>
              <w:rPr>
                <w:lang w:eastAsia="ko-KR"/>
                <w:color w:val="000000"/>
                <w:rtl w:val="off"/>
              </w:rPr>
              <w:t/>
            </w:r>
            <w:r>
              <w:rPr>
                <w:color w:val="000000"/>
              </w:rPr>
              <w:t/>
            </w:r>
            <w:r>
              <w:rPr>
                <w:lang w:eastAsia="ko-KR"/>
                <w:color w:val="000000"/>
                <w:rtl w:val="off"/>
              </w:rPr>
              <w:t/>
            </w:r>
            <w:r>
              <w:rPr>
                <w:color w:val="000000"/>
              </w:rPr>
              <w:t/>
            </w:r>
          </w:p>
        </w:tc>
        <w:tc>
          <w:tcPr>
            <w:tcW w:w="432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color w:val="000000"/>
                <w:sz w:val="20"/>
                <w:szCs w:val="20"/>
              </w:rPr>
              <w:t>나라장터</w:t>
            </w:r>
          </w:p>
        </w:tc>
      </w:tr>
      <w:tr>
        <w:trPr>
          <w:cantSplit/>
        </w:trPr>
        <w:tc>
          <w:tcPr>
            <w:tcW w:w="169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lang w:eastAsia="ko-KR"/>
                <w:rFonts w:hint="eastAsia"/>
                <w:color w:val="000000"/>
                <w:sz w:val="18"/>
                <w:szCs w:val="18"/>
                <w:rtl w:val="off"/>
              </w:rPr>
            </w:pPr>
            <w:r>
              <w:rPr>
                <w:color w:val="000000"/>
                <w:sz w:val="18"/>
                <w:szCs w:val="18"/>
              </w:rPr>
              <w:t xml:space="preserve">협상 및 낙찰자 결정</w:t>
            </w:r>
          </w:p>
        </w:tc>
        <w:tc>
          <w:tcPr>
            <w:tcW w:w="297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rPr>
              <w:t>2026. 10. 15.(목) ~ 10. 19.(월)</w:t>
            </w:r>
            <w:r>
              <w:rPr>
                <w:lang w:eastAsia="ko-KR"/>
                <w:color w:val="000000"/>
                <w:rtl w:val="off"/>
              </w:rPr>
              <w:t/>
            </w:r>
            <w:r>
              <w:rPr>
                <w:color w:val="000000"/>
              </w:rPr>
              <w:t xml:space="preserve"/>
            </w:r>
            <w:r>
              <w:rPr>
                <w:lang w:eastAsia="ko-KR"/>
                <w:color w:val="000000"/>
                <w:rtl w:val="off"/>
              </w:rPr>
              <w:t/>
            </w:r>
            <w:r>
              <w:rPr>
                <w:color w:val="000000"/>
              </w:rPr>
              <w:t/>
            </w:r>
            <w:r>
              <w:rPr>
                <w:lang w:eastAsia="ko-KR"/>
                <w:color w:val="000000"/>
                <w:rtl w:val="off"/>
              </w:rPr>
              <w:t/>
            </w:r>
            <w:r>
              <w:rPr>
                <w:color w:val="000000"/>
              </w:rPr>
              <w:t/>
            </w:r>
          </w:p>
        </w:tc>
        <w:tc>
          <w:tcPr>
            <w:tcW w:w="432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color w:val="000000"/>
              </w:rPr>
              <w:t>협상적격자</w:t>
            </w:r>
            <w:r>
              <w:rPr>
                <w:color w:val="000000"/>
              </w:rPr>
              <w:t xml:space="preserve"> 순 협상, 결렬 시 차순위자</w:t>
            </w:r>
          </w:p>
        </w:tc>
      </w:tr>
      <w:tr>
        <w:trPr>
          <w:cantSplit/>
        </w:trPr>
        <w:tc>
          <w:tcPr>
            <w:tcW w:w="169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계약 체결</w:t>
            </w:r>
          </w:p>
        </w:tc>
        <w:tc>
          <w:tcPr>
            <w:tcW w:w="297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rPr>
              <w:t xml:space="preserve">2026. 10. 20.(화)</w:t>
            </w:r>
            <w:r>
              <w:rPr>
                <w:lang w:eastAsia="ko-KR"/>
                <w:color w:val="000000"/>
                <w:rtl w:val="off"/>
              </w:rPr>
              <w:t/>
            </w:r>
            <w:r>
              <w:rPr>
                <w:color w:val="000000"/>
              </w:rPr>
              <w:t/>
            </w:r>
            <w:r>
              <w:rPr>
                <w:lang w:eastAsia="ko-KR"/>
                <w:color w:val="000000"/>
                <w:rtl w:val="off"/>
              </w:rPr>
              <w:t/>
            </w:r>
            <w:r>
              <w:rPr>
                <w:color w:val="000000"/>
              </w:rPr>
              <w:t/>
            </w:r>
          </w:p>
        </w:tc>
        <w:tc>
          <w:tcPr>
            <w:tcW w:w="4327"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lang w:eastAsia="ko-KR"/>
                <w:rFonts w:hint="eastAsia"/>
                <w:color w:val="000000"/>
                <w:sz w:val="20"/>
                <w:szCs w:val="20"/>
                <w:rtl w:val="off"/>
              </w:rPr>
            </w:pPr>
            <w:r>
              <w:rPr>
                <w:rFonts w:hint="eastAsia"/>
                <w:color w:val="000000"/>
                <w:sz w:val="20"/>
                <w:szCs w:val="20"/>
              </w:rPr>
              <w:t>나라장터</w:t>
            </w:r>
            <w:r>
              <w:rPr>
                <w:color w:val="000000"/>
                <w:sz w:val="20"/>
                <w:szCs w:val="20"/>
              </w:rPr>
              <w:t xml:space="preserve"> 전자계약 </w:t>
            </w:r>
          </w:p>
          <w:p>
            <w:pPr>
              <w:spacing w:line="260" w:lineRule="auto"/>
              <w:rPr>
                <w:color w:val="000000"/>
              </w:rPr>
            </w:pPr>
            <w:r>
              <w:rPr>
                <w:lang w:eastAsia="ko-KR"/>
                <w:color w:val="000000"/>
                <w:sz w:val="20"/>
                <w:szCs w:val="20"/>
                <w:rtl w:val="off"/>
              </w:rPr>
              <w:t>-</w:t>
            </w:r>
            <w:r>
              <w:rPr>
                <w:color w:val="000000"/>
                <w:sz w:val="20"/>
                <w:szCs w:val="20"/>
              </w:rPr>
              <w:t xml:space="preserve"> 계약기간 10. 20. ~ 12. 18.(약 8주)</w:t>
            </w:r>
            <w:r>
              <w:rPr>
                <w:lang w:eastAsia="ko-KR"/>
                <w:color w:val="000000"/>
                <w:sz w:val="20"/>
                <w:szCs w:val="20"/>
                <w:rtl w:val="off"/>
              </w:rPr>
              <w:t/>
            </w:r>
            <w:r>
              <w:rPr>
                <w:color w:val="000000"/>
                <w:sz w:val="20"/>
                <w:szCs w:val="20"/>
              </w:rPr>
              <w:t xml:space="preserve"/>
            </w:r>
            <w:r>
              <w:rPr>
                <w:lang w:eastAsia="ko-KR"/>
                <w:color w:val="000000"/>
                <w:sz w:val="20"/>
                <w:szCs w:val="20"/>
                <w:rtl w:val="off"/>
              </w:rPr>
              <w:t/>
            </w:r>
            <w:r>
              <w:rPr>
                <w:color w:val="000000"/>
                <w:sz w:val="20"/>
                <w:szCs w:val="20"/>
              </w:rPr>
              <w:t/>
            </w:r>
          </w:p>
        </w:tc>
      </w:tr>
    </w:tbl>
    <w:p>
      <w:pPr>
        <w:ind w:left="300"/>
        <w:spacing w:after="80" w:line="276" w:lineRule="auto"/>
        <w:rPr>
          <w:color w:val="000000"/>
        </w:rPr>
      </w:pPr>
      <w:r>
        <w:rPr>
          <w:rFonts w:hint="eastAsia"/>
          <w:color w:val="000000"/>
          <w:sz w:val="18"/>
          <w:szCs w:val="18"/>
        </w:rPr>
        <w:t xml:space="preserve">※ 공고기간은 제안서 제출 마감일 전일 기준 10일 이상으로 하며, 본 공고는 추정가격(부가가치세 제외 45,454,545원)이 고시금액 미만인 경우에 해당함. 상기 일정은 발주자 사정에 따라 변경될 수 있으며, 변경 시 나라장터를 통해 공지함</w:t>
      </w:r>
    </w:p>
    <w:p>
      <w:pPr>
        <w:spacing w:after="100" w:before="240"/>
        <w:rPr>
          <w:color w:val="000000"/>
        </w:rPr>
      </w:pPr>
      <w:r>
        <w:rPr>
          <w:b/>
          <w:bCs/>
          <w:color w:val="000000"/>
          <w:sz w:val="24"/>
          <w:szCs w:val="24"/>
        </w:rPr>
        <w:t>6. 제출서류 및 제출방법</w:t>
      </w:r>
    </w:p>
    <w:p>
      <w:pPr>
        <w:ind w:left="300"/>
        <w:spacing w:after="80" w:line="276" w:lineRule="auto"/>
        <w:rPr>
          <w:color w:val="000000"/>
        </w:rPr>
      </w:pPr>
      <w:r>
        <w:rPr>
          <w:color w:val="000000"/>
        </w:rPr>
        <w:t xml:space="preserve">가. 제출서류 (No.1~14 : 입찰 참가 시, 나라장터 전자 제출 / No.15~19 : 계약 체결 시)</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ellMar>
          <w:left w:w="10" w:type="dxa"/>
          <w:right w:w="10" w:type="dxa"/>
        </w:tblCellMar>
      </w:tblPr>
      <w:tblGrid>
        <w:gridCol w:w="720"/>
        <w:gridCol w:w="2819"/>
        <w:gridCol w:w="2126"/>
        <w:gridCol w:w="3335"/>
      </w:tblGrid>
      <w:tr>
        <w:trPr>
          <w:tblHeader/>
        </w:trPr>
        <w:tc>
          <w:tcPr>
            <w:tcW w:w="720"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No.</w:t>
            </w:r>
          </w:p>
        </w:tc>
        <w:tc>
          <w:tcPr>
            <w:tcW w:w="2819"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서 류 명</w:t>
            </w:r>
          </w:p>
        </w:tc>
        <w:tc>
          <w:tcPr>
            <w:tcW w:w="2126"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서 식</w:t>
            </w:r>
          </w:p>
        </w:tc>
        <w:tc>
          <w:tcPr>
            <w:tcW w:w="3335"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비 고</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1</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입찰참가신청서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제안요청서 붙임 1</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color w:val="000000"/>
                <w:sz w:val="18"/>
                <w:szCs w:val="18"/>
              </w:rPr>
              <w:t>참가</w:t>
            </w:r>
            <w:r>
              <w:rPr>
                <w:color w:val="000000"/>
                <w:sz w:val="18"/>
                <w:szCs w:val="18"/>
              </w:rPr>
              <w:t xml:space="preserve"> 자격 요건 확인란 포함</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2</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소프트웨어사업자 신고확인서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lang w:eastAsia="ko-KR"/>
                <w:color w:val="000000"/>
                <w:sz w:val="18"/>
                <w:szCs w:val="18"/>
                <w:rtl w:val="off"/>
              </w:rPr>
              <w:t>3</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중·소기업·소상공인 확인서 등</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중·소기업·소상공인 확인서(공공기관 입찰용), 벤처기업확인서, 창업기업확인서 중 1종</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lang w:eastAsia="ko-KR"/>
                <w:color w:val="000000"/>
                <w:sz w:val="18"/>
                <w:szCs w:val="18"/>
                <w:rtl w:val="off"/>
              </w:rPr>
              <w:t>4</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사업자등록증 사본</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lang w:eastAsia="ko-KR"/>
                <w:color w:val="000000"/>
                <w:sz w:val="18"/>
                <w:szCs w:val="18"/>
                <w:rtl w:val="off"/>
              </w:rPr>
              <w:t>5</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법인등기부등본</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lang w:eastAsia="ko-KR"/>
                <w:color w:val="000000"/>
                <w:sz w:val="18"/>
                <w:szCs w:val="18"/>
                <w:rtl w:val="off"/>
              </w:rPr>
              <w:t>6</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국세·지방세 완납증명서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 xml:space="preserve">입찰공고일 이후 발급분</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lang w:eastAsia="ko-KR"/>
                <w:color w:val="000000"/>
                <w:sz w:val="18"/>
                <w:szCs w:val="18"/>
                <w:rtl w:val="off"/>
              </w:rPr>
              <w:t>7</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4대 사회보험 완납증명서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 xml:space="preserve">입찰공고일 이후 발급분</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lang w:eastAsia="ko-KR"/>
                <w:color w:val="000000"/>
                <w:sz w:val="18"/>
                <w:szCs w:val="18"/>
                <w:rtl w:val="off"/>
              </w:rPr>
              <w:t>8</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청렴계약 이행 서약서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제안요청서 붙임 2</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lang w:eastAsia="ko-KR"/>
                <w:color w:val="000000"/>
                <w:sz w:val="18"/>
                <w:szCs w:val="18"/>
                <w:rtl w:val="off"/>
              </w:rPr>
              <w:t>9</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입찰보증금 지급각서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rFonts w:hint="eastAsia"/>
                <w:color w:val="000000"/>
              </w:rPr>
              <w:t>제안요청서</w:t>
            </w:r>
            <w:r>
              <w:rPr>
                <w:color w:val="000000"/>
              </w:rPr>
              <w:t xml:space="preserve"> 붙임 3</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b/>
                <w:color w:val="000000"/>
              </w:rPr>
              <w:t>입찰보증금</w:t>
            </w:r>
            <w:r>
              <w:rPr>
                <w:b/>
                <w:color w:val="000000"/>
              </w:rPr>
              <w:t xml:space="preserve"> 면제에 갈음하여 제출</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lang w:eastAsia="ko-KR"/>
                <w:color w:val="000000"/>
                <w:sz w:val="18"/>
                <w:szCs w:val="18"/>
                <w:rtl w:val="off"/>
              </w:rPr>
              <w:t>10</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color w:val="000000"/>
                <w:sz w:val="18"/>
                <w:szCs w:val="18"/>
              </w:rPr>
              <w:t>사용인감계</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rFonts w:hint="eastAsia"/>
                <w:color w:val="000000"/>
                <w:sz w:val="18"/>
                <w:szCs w:val="18"/>
              </w:rPr>
              <w:t>제안요청서</w:t>
            </w:r>
            <w:r>
              <w:rPr>
                <w:color w:val="000000"/>
                <w:sz w:val="18"/>
                <w:szCs w:val="18"/>
              </w:rPr>
              <w:t xml:space="preserve"> 붙임 4</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b/>
                <w:color w:val="000000"/>
                <w:sz w:val="18"/>
                <w:szCs w:val="18"/>
              </w:rPr>
              <w:t>인감증명서상</w:t>
            </w:r>
            <w:r>
              <w:rPr>
                <w:b/>
                <w:color w:val="000000"/>
                <w:sz w:val="18"/>
                <w:szCs w:val="18"/>
              </w:rPr>
              <w:t xml:space="preserve"> 인감 외 인감 사용 시에 한함</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1</w:t>
            </w:r>
            <w:r>
              <w:rPr>
                <w:lang w:eastAsia="ko-KR"/>
                <w:color w:val="000000"/>
                <w:sz w:val="18"/>
                <w:szCs w:val="18"/>
                <w:rtl w:val="off"/>
              </w:rPr>
              <w:t>1</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color w:val="000000"/>
                <w:sz w:val="18"/>
                <w:szCs w:val="18"/>
              </w:rPr>
              <w:t>위임장</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rFonts w:hint="eastAsia"/>
                <w:color w:val="000000"/>
                <w:sz w:val="18"/>
                <w:szCs w:val="18"/>
              </w:rPr>
              <w:t>제안요청서</w:t>
            </w:r>
            <w:r>
              <w:rPr>
                <w:color w:val="000000"/>
                <w:sz w:val="18"/>
                <w:szCs w:val="18"/>
              </w:rPr>
              <w:t xml:space="preserve"> 붙임 5</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rFonts w:hint="eastAsia"/>
                <w:color w:val="000000"/>
                <w:sz w:val="18"/>
                <w:szCs w:val="18"/>
              </w:rPr>
              <w:t>대리</w:t>
            </w:r>
            <w:r>
              <w:rPr>
                <w:color w:val="000000"/>
                <w:sz w:val="18"/>
                <w:szCs w:val="18"/>
              </w:rPr>
              <w:t xml:space="preserve"> 입찰·계약 시에 한함</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color w:val="000000"/>
                <w:szCs w:val="18"/>
              </w:rPr>
              <w:t>1</w:t>
            </w:r>
            <w:r>
              <w:rPr>
                <w:lang w:eastAsia="ko-KR"/>
                <w:color w:val="000000"/>
                <w:szCs w:val="18"/>
                <w:rtl w:val="off"/>
              </w:rPr>
              <w:t>2</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szCs w:val="18"/>
              </w:rPr>
            </w:pPr>
            <w:r>
              <w:rPr>
                <w:rFonts w:hint="eastAsia"/>
                <w:color w:val="000000"/>
                <w:szCs w:val="18"/>
              </w:rPr>
              <w:t>제안서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rFonts w:hint="eastAsia"/>
                <w:color w:val="000000"/>
                <w:szCs w:val="18"/>
              </w:rPr>
              <w:t>제안요청서</w:t>
            </w:r>
            <w:r>
              <w:rPr>
                <w:color w:val="000000"/>
                <w:szCs w:val="18"/>
              </w:rPr>
              <w:t xml:space="preserve"> Ⅴ.7 목차·규격</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szCs w:val="18"/>
              </w:rPr>
            </w:pPr>
            <w:r>
              <w:rPr>
                <w:color w:val="000000"/>
                <w:szCs w:val="18"/>
              </w:rPr>
              <w:t>PDF 형식으로만 제출(원본 편집 파일은 제출 대상 아님)</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color w:val="000000"/>
                <w:szCs w:val="18"/>
              </w:rPr>
              <w:t>1</w:t>
            </w:r>
            <w:r>
              <w:rPr>
                <w:lang w:eastAsia="ko-KR"/>
                <w:color w:val="000000"/>
                <w:szCs w:val="18"/>
                <w:rtl w:val="off"/>
              </w:rPr>
              <w:t>3</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szCs w:val="18"/>
              </w:rPr>
            </w:pPr>
            <w:r>
              <w:rPr>
                <w:rFonts w:hint="eastAsia"/>
                <w:color w:val="000000"/>
                <w:szCs w:val="18"/>
              </w:rPr>
              <w:t>가격입찰서</w:t>
            </w:r>
            <w:r>
              <w:rPr>
                <w:color w:val="000000"/>
                <w:szCs w:val="18"/>
              </w:rPr>
              <w:t xml:space="preserve"> 및 산출내역서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rFonts w:hint="eastAsia"/>
                <w:color w:val="000000"/>
                <w:szCs w:val="18"/>
              </w:rPr>
              <w:t>제안요청서</w:t>
            </w:r>
            <w:r>
              <w:rPr>
                <w:color w:val="000000"/>
                <w:szCs w:val="18"/>
              </w:rPr>
              <w:t xml:space="preserve"> 붙임 6</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szCs w:val="18"/>
              </w:rPr>
            </w:pPr>
            <w:r>
              <w:rPr>
                <w:rFonts w:hint="eastAsia"/>
                <w:color w:val="000000"/>
                <w:szCs w:val="18"/>
              </w:rPr>
              <w:t xml:space="preserve">산출내역서(인건비·경비·일반관리비·이윤) 첨부 · 나라장터 전자 제출</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color w:val="000000"/>
                <w:szCs w:val="18"/>
              </w:rPr>
              <w:t>1</w:t>
            </w:r>
            <w:r>
              <w:rPr>
                <w:lang w:eastAsia="ko-KR"/>
                <w:color w:val="000000"/>
                <w:szCs w:val="18"/>
                <w:rtl w:val="off"/>
              </w:rPr>
              <w:t>4</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정량평가</w:t>
            </w:r>
            <w:r>
              <w:rPr>
                <w:color w:val="000000"/>
                <w:szCs w:val="18"/>
              </w:rPr>
              <w:t xml:space="preserve"> 증빙서류 일체</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rFonts w:hint="eastAsia"/>
                <w:color w:val="000000"/>
                <w:szCs w:val="18"/>
              </w:rPr>
            </w:pPr>
            <w:r>
              <w:rPr>
                <w:rFonts w:hint="eastAsia"/>
                <w:color w:val="000000"/>
                <w:szCs w:val="18"/>
              </w:rPr>
              <w:t>제안요청서</w:t>
            </w:r>
            <w:r>
              <w:rPr>
                <w:color w:val="000000"/>
                <w:szCs w:val="18"/>
              </w:rPr>
              <w:t xml:space="preserve"> 붙임 7~9</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제안요청서</w:t>
            </w:r>
            <w:r>
              <w:rPr>
                <w:color w:val="000000"/>
                <w:szCs w:val="18"/>
              </w:rPr>
              <w:t xml:space="preserve"> Ⅴ.3 참조</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color w:val="000000"/>
                <w:szCs w:val="18"/>
              </w:rPr>
              <w:t>1</w:t>
            </w:r>
            <w:r>
              <w:rPr>
                <w:lang w:eastAsia="ko-KR"/>
                <w:color w:val="000000"/>
                <w:szCs w:val="18"/>
                <w:rtl w:val="off"/>
              </w:rPr>
              <w:t>5</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계약보증서</w:t>
            </w:r>
            <w:r>
              <w:rPr>
                <w:color w:val="000000"/>
                <w:szCs w:val="18"/>
              </w:rPr>
              <w:t xml:space="preserve"> (계약금액의 5%)</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rFonts w:hint="eastAsia"/>
                <w:color w:val="000000"/>
                <w:szCs w:val="18"/>
              </w:rPr>
            </w:pPr>
            <w:r>
              <w:rPr>
                <w:rFonts w:hint="eastAsia"/>
                <w:color w:val="000000"/>
                <w:szCs w:val="18"/>
              </w:rPr>
              <w:t>—</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계약</w:t>
            </w:r>
            <w:r>
              <w:rPr>
                <w:color w:val="000000"/>
                <w:szCs w:val="18"/>
              </w:rPr>
              <w:t xml:space="preserve"> 체결 시</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color w:val="000000"/>
                <w:szCs w:val="18"/>
              </w:rPr>
              <w:t>1</w:t>
            </w:r>
            <w:r>
              <w:rPr>
                <w:lang w:eastAsia="ko-KR"/>
                <w:color w:val="000000"/>
                <w:szCs w:val="18"/>
                <w:rtl w:val="off"/>
              </w:rPr>
              <w:t>6</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국세·지방세</w:t>
            </w:r>
            <w:r>
              <w:rPr>
                <w:color w:val="000000"/>
                <w:szCs w:val="18"/>
              </w:rPr>
              <w:t xml:space="preserve"> 완납증명서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rFonts w:hint="eastAsia"/>
                <w:color w:val="000000"/>
                <w:szCs w:val="18"/>
              </w:rPr>
            </w:pPr>
            <w:r>
              <w:rPr>
                <w:rFonts w:hint="eastAsia"/>
                <w:color w:val="000000"/>
                <w:szCs w:val="18"/>
              </w:rPr>
              <w:t>—</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계약</w:t>
            </w:r>
            <w:r>
              <w:rPr>
                <w:color w:val="000000"/>
                <w:szCs w:val="18"/>
              </w:rPr>
              <w:t xml:space="preserve"> 체결 시 · 계약일 기준 재발급분</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color w:val="000000"/>
                <w:szCs w:val="18"/>
              </w:rPr>
              <w:t>1</w:t>
            </w:r>
            <w:r>
              <w:rPr>
                <w:lang w:eastAsia="ko-KR"/>
                <w:color w:val="000000"/>
                <w:szCs w:val="18"/>
                <w:rtl w:val="off"/>
              </w:rPr>
              <w:t>7</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color w:val="000000"/>
                <w:szCs w:val="18"/>
              </w:rPr>
              <w:t>4대 사회보험 완납증명서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rFonts w:hint="eastAsia"/>
                <w:color w:val="000000"/>
                <w:szCs w:val="18"/>
              </w:rPr>
            </w:pPr>
            <w:r>
              <w:rPr>
                <w:rFonts w:hint="eastAsia"/>
                <w:color w:val="000000"/>
                <w:szCs w:val="18"/>
              </w:rPr>
              <w:t>—</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계약</w:t>
            </w:r>
            <w:r>
              <w:rPr>
                <w:color w:val="000000"/>
                <w:szCs w:val="18"/>
              </w:rPr>
              <w:t xml:space="preserve"> 체결 시 · 계약일 기준 재발급분</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color w:val="000000"/>
                <w:szCs w:val="18"/>
              </w:rPr>
              <w:t>1</w:t>
            </w:r>
            <w:r>
              <w:rPr>
                <w:lang w:eastAsia="ko-KR"/>
                <w:color w:val="000000"/>
                <w:szCs w:val="18"/>
                <w:rtl w:val="off"/>
              </w:rPr>
              <w:t>8</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수행인력</w:t>
            </w:r>
            <w:r>
              <w:rPr>
                <w:color w:val="000000"/>
                <w:szCs w:val="18"/>
              </w:rPr>
              <w:t xml:space="preserve"> 명단 및 보안서약서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rFonts w:hint="eastAsia"/>
                <w:color w:val="000000"/>
                <w:szCs w:val="18"/>
              </w:rPr>
            </w:pPr>
            <w:r>
              <w:rPr>
                <w:rFonts w:hint="eastAsia"/>
                <w:color w:val="000000"/>
                <w:szCs w:val="18"/>
              </w:rPr>
              <w:t>제안요청서</w:t>
            </w:r>
            <w:r>
              <w:rPr>
                <w:color w:val="000000"/>
                <w:szCs w:val="18"/>
              </w:rPr>
              <w:t xml:space="preserve"> 붙임 10</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계약</w:t>
            </w:r>
            <w:r>
              <w:rPr>
                <w:color w:val="000000"/>
                <w:szCs w:val="18"/>
              </w:rPr>
              <w:t xml:space="preserve"> 체결 시</w:t>
            </w:r>
          </w:p>
        </w:tc>
      </w:tr>
      <w:tr>
        <w:tc>
          <w:tcPr>
            <w:tcW w:w="72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szCs w:val="18"/>
              </w:rPr>
            </w:pPr>
            <w:r>
              <w:rPr>
                <w:lang w:eastAsia="ko-KR"/>
                <w:color w:val="000000"/>
                <w:szCs w:val="18"/>
                <w:rtl w:val="off"/>
              </w:rPr>
              <w:t>19</w:t>
            </w:r>
          </w:p>
        </w:tc>
        <w:tc>
          <w:tcPr>
            <w:tcW w:w="2819"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개인정보</w:t>
            </w:r>
            <w:r>
              <w:rPr>
                <w:color w:val="000000"/>
                <w:szCs w:val="18"/>
              </w:rPr>
              <w:t xml:space="preserve"> 처리 위탁 계약서</w:t>
            </w:r>
          </w:p>
        </w:tc>
        <w:tc>
          <w:tcPr>
            <w:tcW w:w="21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rFonts w:hint="eastAsia"/>
                <w:color w:val="000000"/>
                <w:szCs w:val="18"/>
              </w:rPr>
            </w:pPr>
            <w:r>
              <w:rPr>
                <w:rFonts w:hint="eastAsia"/>
                <w:color w:val="000000"/>
                <w:szCs w:val="18"/>
              </w:rPr>
              <w:t>제안요청서</w:t>
            </w:r>
            <w:r>
              <w:rPr>
                <w:color w:val="000000"/>
                <w:szCs w:val="18"/>
              </w:rPr>
              <w:t xml:space="preserve"> 붙임 11</w:t>
            </w:r>
          </w:p>
        </w:tc>
        <w:tc>
          <w:tcPr>
            <w:tcW w:w="3335"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rFonts w:hint="eastAsia"/>
                <w:color w:val="000000"/>
                <w:szCs w:val="18"/>
              </w:rPr>
            </w:pPr>
            <w:r>
              <w:rPr>
                <w:rFonts w:hint="eastAsia"/>
                <w:color w:val="000000"/>
                <w:szCs w:val="18"/>
              </w:rPr>
              <w:t>계약</w:t>
            </w:r>
            <w:r>
              <w:rPr>
                <w:color w:val="000000"/>
                <w:szCs w:val="18"/>
              </w:rPr>
              <w:t xml:space="preserve"> 체결 시</w:t>
            </w:r>
          </w:p>
        </w:tc>
      </w:tr>
    </w:tbl>
    <w:p>
      <w:pPr>
        <w:spacing w:after="60" w:line="276" w:lineRule="auto"/>
        <w:rPr>
          <w:color w:val="000000"/>
        </w:rPr>
      </w:pPr>
    </w:p>
    <w:p>
      <w:pPr>
        <w:ind w:left="300"/>
        <w:spacing w:after="80" w:line="276" w:lineRule="auto"/>
        <w:rPr>
          <w:color w:val="000000"/>
        </w:rPr>
      </w:pPr>
      <w:r>
        <w:rPr>
          <w:color w:val="000000"/>
        </w:rPr>
        <w:t>나. 제출방법</w:t>
      </w:r>
    </w:p>
    <w:p>
      <w:pPr>
        <w:ind w:left="600"/>
        <w:spacing w:after="80" w:line="276" w:lineRule="auto"/>
        <w:rPr>
          <w:lang w:eastAsia="ko-KR"/>
          <w:rFonts w:hint="eastAsia"/>
          <w:color w:val="000000"/>
          <w:rtl w:val="off"/>
        </w:rPr>
      </w:pPr>
      <w:r>
        <w:rPr>
          <w:color w:val="000000"/>
        </w:rPr>
        <w:t xml:space="preserve">1) 제안서·제출서류는 나라장터 전자입찰 시스템에 파일로 업로드하고, </w:t>
      </w:r>
      <w:r>
        <w:rPr>
          <w:rFonts w:hint="eastAsia"/>
          <w:color w:val="000000"/>
        </w:rPr>
        <w:t>가격입찰서</w:t>
      </w:r>
      <w:r>
        <w:rPr>
          <w:color w:val="000000"/>
        </w:rPr>
        <w:t>(입찰가격)는 같은 시스템에 전자 제출함. 입찰가격은 부가가치세를 포함한 총</w:t>
      </w:r>
      <w:r>
        <w:rPr>
          <w:rFonts w:hint="eastAsia"/>
          <w:color w:val="000000"/>
        </w:rPr>
        <w:t>액으로</w:t>
      </w:r>
      <w:r>
        <w:rPr>
          <w:color w:val="000000"/>
        </w:rPr>
        <w:t xml:space="preserve"> 나라장터에 입</w:t>
      </w:r>
      <w:r>
        <w:rPr>
          <w:lang w:eastAsia="ko-KR"/>
          <w:color w:val="000000"/>
          <w:rtl w:val="off"/>
        </w:rPr>
        <w:t>력</w:t>
      </w:r>
    </w:p>
    <w:p>
      <w:pPr>
        <w:ind w:left="600"/>
        <w:spacing w:after="80" w:line="276" w:lineRule="auto"/>
        <w:rPr>
          <w:color w:val="000000"/>
        </w:rPr>
      </w:pPr>
      <w:r>
        <w:rPr>
          <w:color w:val="000000"/>
        </w:rPr>
        <w:t xml:space="preserve">2) </w:t>
      </w:r>
      <w:r>
        <w:rPr>
          <w:b/>
          <w:color w:val="000000"/>
        </w:rPr>
        <w:t>제출 마감일시 이후의 제출·수정·추가는 인정하지 아니함</w:t>
      </w:r>
    </w:p>
    <w:p>
      <w:pPr>
        <w:ind w:left="600"/>
        <w:spacing w:after="80" w:line="276" w:lineRule="auto"/>
        <w:rPr>
          <w:color w:val="000000"/>
        </w:rPr>
      </w:pPr>
      <w:r>
        <w:rPr>
          <w:color w:val="000000"/>
        </w:rPr>
        <w:t xml:space="preserve">3) </w:t>
      </w:r>
      <w:r>
        <w:rPr>
          <w:rFonts w:hint="eastAsia"/>
          <w:b/>
          <w:color w:val="000000"/>
        </w:rPr>
        <w:t>제안서와</w:t>
      </w:r>
      <w:r>
        <w:rPr>
          <w:b/>
          <w:color w:val="000000"/>
        </w:rPr>
        <w:t xml:space="preserve"> 가격입찰서 중 어느 하나라도 제출하지 아니한 경우 입찰 무효로 함</w:t>
      </w:r>
    </w:p>
    <w:p>
      <w:pPr>
        <w:ind w:left="600"/>
        <w:spacing w:after="80" w:line="276" w:lineRule="auto"/>
        <w:rPr>
          <w:color w:val="000000"/>
        </w:rPr>
      </w:pPr>
      <w:r>
        <w:rPr>
          <w:color w:val="000000"/>
        </w:rPr>
        <w:t>4) 제출된 서류는 반환하지 아니하며, 제안서 작성·제출 비용은 입찰참가자가 부담함</w:t>
      </w:r>
    </w:p>
    <w:p>
      <w:pPr>
        <w:ind w:left="300"/>
        <w:spacing w:after="80" w:line="276" w:lineRule="auto"/>
        <w:rPr>
          <w:color w:val="000000"/>
        </w:rPr>
      </w:pPr>
      <w:r>
        <w:rPr>
          <w:color w:val="000000"/>
        </w:rPr>
        <w:t xml:space="preserve">다. 계약 체결 시 제출서류(위 표 No.15~19) : 계약보증서(계약금액의 5%), 국세·지방세 및 4대 사회보험 완납증명서(계약일 기준), 수행인력 명단 및 보안서약서, 개인정보 처리 위탁 계약서 — 제안요청서 Ⅳ.2 및 붙임 10·11 참조</w:t>
      </w:r>
    </w:p>
    <w:p>
      <w:pPr>
        <w:spacing w:after="100" w:before="240"/>
        <w:rPr>
          <w:color w:val="000000"/>
        </w:rPr>
      </w:pPr>
      <w:r>
        <w:rPr>
          <w:b/>
          <w:bCs/>
          <w:color w:val="000000"/>
          <w:sz w:val="24"/>
          <w:szCs w:val="24"/>
        </w:rPr>
        <w:t>7. 입찰보증금 납부 및 귀속</w:t>
      </w:r>
    </w:p>
    <w:p>
      <w:pPr>
        <w:ind w:left="300"/>
        <w:spacing w:after="80" w:line="276" w:lineRule="auto"/>
        <w:rPr>
          <w:color w:val="000000"/>
        </w:rPr>
      </w:pPr>
      <w:r>
        <w:rPr>
          <w:rFonts w:hint="eastAsia"/>
          <w:color w:val="000000"/>
        </w:rPr>
        <w:t>가</w:t>
      </w:r>
      <w:r>
        <w:rPr>
          <w:color w:val="000000"/>
        </w:rPr>
        <w:t xml:space="preserve">. 입찰보증금은 「국가를 당사자로 하는 계약에 관한 법률 시행령」 제37조제3항의 취지에 따라 면제하며, 입찰참가자는 이에 갈음하여 </w:t>
      </w:r>
      <w:r>
        <w:rPr>
          <w:rFonts w:hint="eastAsia"/>
          <w:color w:val="000000"/>
        </w:rPr>
        <w:t>「입찰보증금</w:t>
      </w:r>
      <w:r>
        <w:rPr>
          <w:color w:val="000000"/>
        </w:rPr>
        <w:t xml:space="preserve"> 지급각서」(제안요청서 붙임 3)를 가격입찰서와 함께 제출하여야 함</w:t>
      </w:r>
    </w:p>
    <w:p>
      <w:pPr>
        <w:ind w:left="300"/>
        <w:spacing w:after="80" w:line="276" w:lineRule="auto"/>
        <w:rPr>
          <w:color w:val="000000"/>
        </w:rPr>
      </w:pPr>
      <w:r>
        <w:rPr>
          <w:color w:val="000000"/>
        </w:rPr>
        <w:t xml:space="preserve">나. 낙찰자가 정당한 사유 없이 소정의 기일 내에 계약을 체결하지 아니하는 경우 입찰금액의 100분의 5에 </w:t>
      </w:r>
      <w:r>
        <w:rPr>
          <w:rFonts w:hint="eastAsia"/>
          <w:color w:val="000000"/>
        </w:rPr>
        <w:t>해당하는</w:t>
      </w:r>
      <w:r>
        <w:rPr>
          <w:color w:val="000000"/>
        </w:rPr>
        <w:t xml:space="preserve"> 금액을 입찰보증금으로 발주자에게 현금으로 납부하여야 하며, 이는 지급각서에 따라 발주자에게 귀속되고 발주자는 별도로 입은 손해의 배상을 청구할 수 있음</w:t>
      </w:r>
    </w:p>
    <w:p>
      <w:pPr>
        <w:ind w:left="300"/>
        <w:spacing w:after="80" w:line="276" w:lineRule="auto"/>
        <w:rPr>
          <w:color w:val="000000"/>
        </w:rPr>
      </w:pPr>
      <w:r>
        <w:rPr>
          <w:color w:val="000000"/>
        </w:rPr>
        <w:t xml:space="preserve">다. </w:t>
      </w:r>
      <w:r>
        <w:rPr>
          <w:b/>
          <w:color w:val="000000"/>
        </w:rPr>
        <w:t xml:space="preserve">「입찰보증금 지급각서」를 제출하지 아니한 입찰은 무효로 함</w:t>
      </w:r>
    </w:p>
    <w:p>
      <w:pPr>
        <w:spacing w:after="100" w:before="240"/>
        <w:rPr>
          <w:color w:val="000000"/>
        </w:rPr>
      </w:pPr>
      <w:r>
        <w:rPr>
          <w:b/>
          <w:bCs/>
          <w:color w:val="000000"/>
          <w:sz w:val="24"/>
          <w:szCs w:val="24"/>
        </w:rPr>
        <w:t>8. 제안서 평가 및 낙찰자 결정방법</w:t>
      </w:r>
    </w:p>
    <w:p>
      <w:pPr>
        <w:ind w:left="300"/>
        <w:spacing w:after="80" w:line="276" w:lineRule="auto"/>
        <w:rPr>
          <w:color w:val="000000"/>
        </w:rPr>
      </w:pPr>
      <w:r>
        <w:rPr>
          <w:color w:val="000000"/>
        </w:rPr>
        <w:t>가. 평가 배점</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ellMar>
          <w:left w:w="10" w:type="dxa"/>
          <w:right w:w="10" w:type="dxa"/>
        </w:tblCellMar>
      </w:tblPr>
      <w:tblGrid>
        <w:gridCol w:w="2250"/>
        <w:gridCol w:w="1350"/>
        <w:gridCol w:w="5400"/>
      </w:tblGrid>
      <w:tr>
        <w:trPr>
          <w:tblHeader/>
        </w:trPr>
        <w:tc>
          <w:tcPr>
            <w:tcW w:w="2250"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구 분</w:t>
            </w:r>
          </w:p>
        </w:tc>
        <w:tc>
          <w:tcPr>
            <w:tcW w:w="1350"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배 점</w:t>
            </w:r>
          </w:p>
        </w:tc>
        <w:tc>
          <w:tcPr>
            <w:tcW w:w="5400" w:type="dxa"/>
            <w:tcBorders>
              <w:top w:val="single" w:sz="4" w:space="0" w:color="808080"/>
              <w:left w:val="single" w:sz="4" w:space="0" w:color="808080"/>
              <w:bottom w:val="single" w:sz="4" w:space="0" w:color="808080"/>
              <w:right w:val="single" w:sz="4" w:space="0" w:color="808080"/>
            </w:tcBorders>
            <w:shd w:val="clear" w:color="auto"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평가 방법</w:t>
            </w:r>
          </w:p>
        </w:tc>
      </w:tr>
      <w:tr>
        <w:tc>
          <w:tcPr>
            <w:tcW w:w="2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정성평가</w:t>
            </w:r>
          </w:p>
        </w:tc>
        <w:tc>
          <w:tcPr>
            <w:tcW w:w="13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80</w:t>
            </w:r>
          </w:p>
        </w:tc>
        <w:tc>
          <w:tcPr>
            <w:tcW w:w="5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평가위원회(5인 이상) 서면·발표 심사</w:t>
            </w:r>
          </w:p>
        </w:tc>
      </w:tr>
      <w:tr>
        <w:tc>
          <w:tcPr>
            <w:tcW w:w="2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정량평가</w:t>
            </w:r>
          </w:p>
        </w:tc>
        <w:tc>
          <w:tcPr>
            <w:tcW w:w="13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10</w:t>
            </w:r>
          </w:p>
        </w:tc>
        <w:tc>
          <w:tcPr>
            <w:tcW w:w="5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신용평가등급 3 · 수행실적 4(건수 2·금액 2) · 인력 3(총괄책임자 경력 2·투입 규모 1)</w:t>
            </w:r>
          </w:p>
        </w:tc>
      </w:tr>
      <w:tr>
        <w:tc>
          <w:tcPr>
            <w:tcW w:w="2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가격평가</w:t>
            </w:r>
          </w:p>
        </w:tc>
        <w:tc>
          <w:tcPr>
            <w:tcW w:w="13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10</w:t>
            </w:r>
          </w:p>
        </w:tc>
        <w:tc>
          <w:tcPr>
            <w:tcW w:w="5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가격평점 = 10 × (최저 입찰가격 ÷ 해당 입찰가격)</w:t>
            </w:r>
          </w:p>
        </w:tc>
      </w:tr>
      <w:tr>
        <w:tc>
          <w:tcPr>
            <w:tcW w:w="22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합 계</w:t>
            </w:r>
          </w:p>
        </w:tc>
        <w:tc>
          <w:tcPr>
            <w:tcW w:w="135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jc w:val="center"/>
              <w:spacing w:line="260" w:lineRule="auto"/>
              <w:rPr>
                <w:color w:val="000000"/>
              </w:rPr>
            </w:pPr>
            <w:r>
              <w:rPr>
                <w:color w:val="000000"/>
                <w:sz w:val="18"/>
                <w:szCs w:val="18"/>
              </w:rPr>
              <w:t>100</w:t>
            </w:r>
          </w:p>
        </w:tc>
        <w:tc>
          <w:tcPr>
            <w:tcW w:w="5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p>
        </w:tc>
      </w:tr>
    </w:tbl>
    <w:p>
      <w:pPr>
        <w:spacing w:after="60" w:line="276" w:lineRule="auto"/>
        <w:rPr>
          <w:color w:val="000000"/>
        </w:rPr>
      </w:pPr>
    </w:p>
    <w:p>
      <w:pPr>
        <w:ind w:left="300"/>
        <w:spacing w:after="80" w:line="276" w:lineRule="auto"/>
        <w:rPr>
          <w:color w:val="000000"/>
        </w:rPr>
      </w:pPr>
      <w:r>
        <w:rPr>
          <w:color w:val="000000"/>
        </w:rPr>
        <w:t>나. 평가 방법</w:t>
      </w:r>
    </w:p>
    <w:p>
      <w:pPr>
        <w:ind w:left="600"/>
        <w:spacing w:after="80" w:line="276" w:lineRule="auto"/>
        <w:rPr>
          <w:color w:val="000000"/>
        </w:rPr>
      </w:pPr>
      <w:r>
        <w:rPr>
          <w:color w:val="000000"/>
        </w:rPr>
        <w:t xml:space="preserve">1) 정성평가는 평가위원 개인별 점수 중 </w:t>
      </w:r>
      <w:r>
        <w:rPr>
          <w:rFonts w:hint="eastAsia"/>
          <w:color w:val="000000"/>
        </w:rPr>
        <w:t>최고점·최저점을</w:t>
      </w:r>
      <w:r>
        <w:rPr>
          <w:color w:val="000000"/>
        </w:rPr>
        <w:t xml:space="preserve"> 제외한 평균으로 산정함 (평가 등급 : 매우우수 100% · 우수 90% · 보통 80% · 미흡 70% · 매우미흡 60%)</w:t>
      </w:r>
    </w:p>
    <w:p>
      <w:pPr>
        <w:ind w:left="600"/>
        <w:spacing w:after="80" w:line="276" w:lineRule="auto"/>
        <w:rPr>
          <w:color w:val="000000"/>
        </w:rPr>
      </w:pPr>
      <w:r>
        <w:rPr>
          <w:color w:val="000000"/>
        </w:rPr>
        <w:t xml:space="preserve">2) 발표평가 : </w:t>
      </w:r>
      <w:r>
        <w:rPr>
          <w:rFonts w:hint="eastAsia"/>
          <w:color w:val="000000"/>
        </w:rPr>
        <w:t>실시함</w:t>
      </w:r>
      <w:r>
        <w:rPr>
          <w:color w:val="000000"/>
        </w:rPr>
        <w:t xml:space="preserve">. 제안서 서면평가와 발표평가를 병행하며, </w:t>
      </w:r>
      <w:r>
        <w:rPr>
          <w:b/>
          <w:color w:val="000000"/>
        </w:rPr>
        <w:t xml:space="preserve">발표는 총괄책임자가 </w:t>
      </w:r>
      <w:r>
        <w:rPr>
          <w:rFonts w:hint="eastAsia"/>
          <w:b/>
          <w:color w:val="000000"/>
        </w:rPr>
        <w:t>직접</w:t>
      </w:r>
      <w:r>
        <w:rPr>
          <w:b/>
          <w:color w:val="000000"/>
        </w:rPr>
        <w:t xml:space="preserve"> 수행</w:t>
      </w:r>
      <w:r>
        <w:rPr>
          <w:color w:val="000000"/>
        </w:rPr>
        <w:t xml:space="preserve">(입찰참가자별 발표 15분 + 질의응답 10분)하고, 별도 발표자료를 작성하지 아니하며 제출한 제안서를 발표자료로 사용함(</w:t>
      </w:r>
      <w:r>
        <w:rPr>
          <w:b/>
          <w:color w:val="000000"/>
        </w:rPr>
        <w:t>제안서에 없는 내용은 발표 및 평가에 반영하지 아니함</w:t>
      </w:r>
      <w:r>
        <w:rPr>
          <w:color w:val="000000"/>
        </w:rPr>
        <w:t xml:space="preserve">). 발표 일시·장소(온라인 포함) 및 </w:t>
      </w:r>
      <w:r>
        <w:rPr>
          <w:rFonts w:hint="eastAsia"/>
          <w:color w:val="000000"/>
        </w:rPr>
        <w:t>순서는</w:t>
      </w:r>
      <w:r>
        <w:rPr>
          <w:color w:val="000000"/>
        </w:rPr>
        <w:t xml:space="preserve"> 제안서 제출 마감 후 개별 통보하며, 발표평가에 불참한 경우 서면평가만으로 평가하되 </w:t>
      </w:r>
      <w:r>
        <w:rPr>
          <w:b/>
          <w:color w:val="000000"/>
        </w:rPr>
        <w:t>각 항목은 “보통” 등급을 상한으로 함</w:t>
      </w:r>
    </w:p>
    <w:p>
      <w:pPr>
        <w:ind w:left="600"/>
        <w:spacing w:after="80" w:line="276" w:lineRule="auto"/>
        <w:rPr>
          <w:color w:val="000000"/>
        </w:rPr>
      </w:pPr>
      <w:r>
        <w:rPr>
          <w:color w:val="000000"/>
        </w:rPr>
        <w:t xml:space="preserve">3) 정량평가는 제출 증빙서류에 기재된 사실만으로 판정하며, 미제출 항목은 0점으로 처리함. 산정 기준일은 입찰공고일로 하며, 증빙서류는 입찰공고일 이후 발급분에 한함. 다만 기업신용평가등급확인서는 입찰공고일 현재 평가등급서의 유효기간 내인 것을 인정함</w:t>
      </w:r>
    </w:p>
    <w:p>
      <w:pPr>
        <w:ind w:left="600"/>
        <w:spacing w:after="80" w:line="276" w:lineRule="auto"/>
        <w:rPr>
          <w:color w:val="000000"/>
        </w:rPr>
      </w:pPr>
      <w:r>
        <w:rPr>
          <w:color w:val="000000"/>
        </w:rPr>
        <w:t xml:space="preserve">4) 입찰가격이 사업예산의 70% 미만인 경우 이행 가능성 소명자료 제출을 요구할 수 있으며, 소명이 불충분한 경우 협상 대상에서 제외할 수 있음</w:t>
      </w:r>
    </w:p>
    <w:p>
      <w:pPr>
        <w:ind w:left="300"/>
        <w:spacing w:after="80" w:line="276" w:lineRule="auto"/>
        <w:rPr>
          <w:color w:val="000000"/>
        </w:rPr>
      </w:pPr>
      <w:r>
        <w:rPr>
          <w:color w:val="000000"/>
        </w:rPr>
        <w:t>다. 협상 및 낙찰자 결정</w:t>
      </w:r>
    </w:p>
    <w:p>
      <w:pPr>
        <w:ind w:left="600"/>
        <w:spacing w:after="80" w:line="276" w:lineRule="auto"/>
        <w:rPr>
          <w:color w:val="000000"/>
        </w:rPr>
      </w:pPr>
      <w:r>
        <w:rPr>
          <w:color w:val="000000"/>
        </w:rPr>
        <w:t>1) 기술능력평가 76.5점(85%) 이상 득점자 중 종합평점(기술 + 가격) 최고점자 순으로 협상함</w:t>
      </w:r>
    </w:p>
    <w:p>
      <w:pPr>
        <w:ind w:left="600"/>
        <w:spacing w:after="80" w:line="276" w:lineRule="auto"/>
        <w:rPr>
          <w:color w:val="000000"/>
        </w:rPr>
      </w:pPr>
      <w:r>
        <w:rPr>
          <w:color w:val="000000"/>
        </w:rPr>
        <w:t xml:space="preserve">2) 협상이 성립한 자를 낙찰자로 결정하며, 결렬 시 차순위자와 협상함</w:t>
      </w:r>
    </w:p>
    <w:p>
      <w:pPr>
        <w:ind w:left="600"/>
        <w:spacing w:after="80" w:line="276" w:lineRule="auto"/>
        <w:rPr>
          <w:color w:val="000000"/>
        </w:rPr>
      </w:pPr>
      <w:r>
        <w:rPr>
          <w:color w:val="000000"/>
        </w:rPr>
        <w:t xml:space="preserve">3) 동점자는 ① 기술능력평가 점수 ② 정량평가 점수 ③ </w:t>
      </w:r>
      <w:r>
        <w:rPr>
          <w:rFonts w:hint="eastAsia"/>
          <w:color w:val="000000"/>
        </w:rPr>
        <w:t>낮은</w:t>
      </w:r>
      <w:r>
        <w:rPr>
          <w:color w:val="000000"/>
        </w:rPr>
        <w:t xml:space="preserve"> 입찰가격 ④ 추첨 순으로 결정함</w:t>
      </w:r>
    </w:p>
    <w:p>
      <w:pPr>
        <w:ind w:left="600"/>
        <w:spacing w:after="80" w:line="276" w:lineRule="auto"/>
        <w:rPr>
          <w:color w:val="000000"/>
        </w:rPr>
      </w:pPr>
      <w:r>
        <w:rPr>
          <w:color w:val="000000"/>
        </w:rPr>
        <w:t>4) 평가 결과는 낙찰자 결정 후 입찰참가자에게 통보함</w:t>
      </w:r>
    </w:p>
    <w:p>
      <w:pPr>
        <w:spacing w:after="100" w:before="240"/>
        <w:rPr>
          <w:color w:val="000000"/>
        </w:rPr>
      </w:pPr>
      <w:r>
        <w:rPr>
          <w:b/>
          <w:bCs/>
          <w:color w:val="000000"/>
          <w:sz w:val="24"/>
          <w:szCs w:val="24"/>
        </w:rPr>
        <w:t>9. 입찰 무효에 관한 사항</w:t>
      </w:r>
    </w:p>
    <w:p>
      <w:pPr>
        <w:ind w:left="300"/>
        <w:spacing w:after="80" w:line="276" w:lineRule="auto"/>
        <w:rPr>
          <w:color w:val="000000"/>
        </w:rPr>
      </w:pPr>
      <w:r>
        <w:rPr>
          <w:color w:val="000000"/>
        </w:rPr>
        <w:t>다음의 어느 하나에 해당하는 입찰은 무효로 함</w:t>
      </w:r>
    </w:p>
    <w:p>
      <w:pPr>
        <w:ind w:left="600"/>
        <w:spacing w:after="80" w:line="276" w:lineRule="auto"/>
        <w:rPr>
          <w:color w:val="000000"/>
        </w:rPr>
      </w:pPr>
      <w:r>
        <w:rPr>
          <w:color w:val="000000"/>
        </w:rPr>
        <w:t>1) 입찰참가자격이 없는 자의 입찰</w:t>
      </w:r>
    </w:p>
    <w:p>
      <w:pPr>
        <w:ind w:left="600"/>
        <w:spacing w:after="80" w:line="276" w:lineRule="auto"/>
        <w:rPr>
          <w:color w:val="000000"/>
        </w:rPr>
      </w:pPr>
      <w:r>
        <w:rPr>
          <w:color w:val="000000"/>
        </w:rPr>
        <w:t>2) 제안서 또는 가격입찰서 중 어느 하나를 제출 마감일시까지 제출하지 아니한 입찰</w:t>
      </w:r>
    </w:p>
    <w:p>
      <w:pPr>
        <w:ind w:left="600"/>
        <w:spacing w:after="80" w:line="276" w:lineRule="auto"/>
        <w:rPr>
          <w:color w:val="000000"/>
        </w:rPr>
      </w:pPr>
      <w:r>
        <w:rPr>
          <w:color w:val="000000"/>
        </w:rPr>
        <w:t xml:space="preserve">3) 「입찰보증금 지급각서」를 제출하지 아니한 입찰</w:t>
      </w:r>
    </w:p>
    <w:p>
      <w:pPr>
        <w:ind w:left="600"/>
        <w:spacing w:after="80" w:line="276" w:lineRule="auto"/>
        <w:rPr>
          <w:color w:val="000000"/>
        </w:rPr>
      </w:pPr>
      <w:r>
        <w:rPr>
          <w:color w:val="000000"/>
        </w:rPr>
        <w:t xml:space="preserve">4) 입찰금액이 사업예산(부가가치세 포함 5천만원)을 초과한 입찰</w:t>
      </w:r>
    </w:p>
    <w:p>
      <w:pPr>
        <w:ind w:left="600"/>
        <w:spacing w:after="80" w:line="276" w:lineRule="auto"/>
        <w:rPr>
          <w:color w:val="000000"/>
        </w:rPr>
      </w:pPr>
      <w:r>
        <w:rPr>
          <w:color w:val="000000"/>
        </w:rPr>
        <w:t>5) 동일 사항에 대하여 2통 이상의 입찰서를 제출한 입찰</w:t>
      </w:r>
    </w:p>
    <w:p>
      <w:pPr>
        <w:ind w:left="600"/>
        <w:spacing w:after="80" w:line="276" w:lineRule="auto"/>
        <w:rPr>
          <w:color w:val="000000"/>
        </w:rPr>
      </w:pPr>
      <w:r>
        <w:rPr>
          <w:color w:val="000000"/>
        </w:rPr>
        <w:t>6) 담합, 타인 명의 사용 등 입찰의 공정성을 해친 것으로 확인된 입찰</w:t>
      </w:r>
    </w:p>
    <w:p>
      <w:pPr>
        <w:ind w:left="600"/>
        <w:spacing w:after="80" w:line="276" w:lineRule="auto"/>
        <w:rPr>
          <w:color w:val="000000"/>
        </w:rPr>
      </w:pPr>
      <w:r>
        <w:rPr>
          <w:color w:val="000000"/>
        </w:rPr>
        <w:t>7) 제안서 또는 제출서류의 허위 기재가 확인된 입찰</w:t>
      </w:r>
    </w:p>
    <w:p>
      <w:pPr>
        <w:ind w:left="600"/>
        <w:spacing w:after="80" w:line="276" w:lineRule="auto"/>
        <w:rPr>
          <w:color w:val="000000"/>
        </w:rPr>
      </w:pPr>
      <w:r>
        <w:rPr>
          <w:color w:val="000000"/>
        </w:rPr>
        <w:t>8) 그 밖에 본 공고문 또는 제안요청서에서 무효로 정한 사항에 해당하는 입찰</w:t>
      </w:r>
    </w:p>
    <w:p>
      <w:pPr>
        <w:spacing w:after="100" w:before="240"/>
        <w:rPr>
          <w:color w:val="000000"/>
        </w:rPr>
      </w:pPr>
      <w:r>
        <w:rPr>
          <w:b/>
          <w:bCs/>
          <w:color w:val="000000"/>
          <w:sz w:val="24"/>
          <w:szCs w:val="24"/>
        </w:rPr>
        <w:t xml:space="preserve">10. 유찰 및 재공고</w:t>
      </w:r>
    </w:p>
    <w:p>
      <w:pPr>
        <w:ind w:left="300"/>
        <w:spacing w:after="80" w:line="276" w:lineRule="auto"/>
        <w:rPr>
          <w:color w:val="000000"/>
        </w:rPr>
      </w:pPr>
      <w:r>
        <w:rPr>
          <w:color w:val="000000"/>
        </w:rPr>
        <w:t xml:space="preserve">가. </w:t>
      </w:r>
      <w:r>
        <w:rPr>
          <w:rFonts w:hint="eastAsia"/>
          <w:color w:val="000000"/>
        </w:rPr>
        <w:t>유효한</w:t>
      </w:r>
      <w:r>
        <w:rPr>
          <w:color w:val="000000"/>
        </w:rPr>
        <w:t xml:space="preserve"> 입찰참가자가 1인뿐이거나 협상적격자가 없는 경우 유찰 처리하고 재공고</w:t>
      </w:r>
      <w:r>
        <w:rPr>
          <w:rFonts w:hint="eastAsia"/>
          <w:color w:val="000000"/>
        </w:rPr>
        <w:t>할</w:t>
      </w:r>
      <w:r>
        <w:rPr>
          <w:color w:val="000000"/>
        </w:rPr>
        <w:t xml:space="preserve"> 수 있음</w:t>
      </w:r>
    </w:p>
    <w:p>
      <w:pPr>
        <w:ind w:left="300"/>
        <w:spacing w:after="80" w:line="276" w:lineRule="auto"/>
        <w:rPr>
          <w:color w:val="000000"/>
        </w:rPr>
      </w:pPr>
      <w:r>
        <w:rPr>
          <w:color w:val="000000"/>
        </w:rPr>
        <w:t xml:space="preserve">나. 재공고입찰은 최초 공고의 참가자격·평가기준·예산을 변경하지 </w:t>
      </w:r>
      <w:r>
        <w:rPr>
          <w:rFonts w:hint="eastAsia"/>
          <w:color w:val="000000"/>
        </w:rPr>
        <w:t>않으</w:t>
      </w:r>
      <w:r>
        <w:rPr>
          <w:color w:val="000000"/>
        </w:rPr>
        <w:t xml:space="preserve">며, 공고기간은 단축 가능</w:t>
      </w:r>
    </w:p>
    <w:p>
      <w:pPr>
        <w:ind w:left="300"/>
        <w:spacing w:after="80" w:line="276" w:lineRule="auto"/>
        <w:rPr>
          <w:color w:val="000000"/>
        </w:rPr>
      </w:pPr>
      <w:r>
        <w:rPr>
          <w:color w:val="000000"/>
        </w:rPr>
        <w:t xml:space="preserve">다. </w:t>
      </w:r>
      <w:r>
        <w:rPr>
          <w:rFonts w:hint="eastAsia"/>
          <w:color w:val="000000"/>
        </w:rPr>
        <w:t>재공고입찰에서도</w:t>
      </w:r>
      <w:r>
        <w:rPr>
          <w:color w:val="000000"/>
        </w:rPr>
        <w:t xml:space="preserve"> 유효한 입찰참가자가 1인뿐인 경우 해당 입찰참가자에 대하여 제안서 평가를 실시하고, 협상적격 기준을 충족하면 협상을 진행할 수 있음</w:t>
      </w:r>
    </w:p>
    <w:p>
      <w:pPr>
        <w:spacing w:after="100" w:before="240"/>
        <w:rPr>
          <w:color w:val="000000"/>
        </w:rPr>
      </w:pPr>
      <w:r>
        <w:rPr>
          <w:b/>
          <w:bCs/>
          <w:color w:val="000000"/>
          <w:sz w:val="24"/>
          <w:szCs w:val="24"/>
        </w:rPr>
        <w:t>11. 청렴계약 이행</w:t>
      </w:r>
    </w:p>
    <w:p>
      <w:pPr>
        <w:ind w:left="300"/>
        <w:spacing w:after="80" w:line="276" w:lineRule="auto"/>
        <w:rPr>
          <w:color w:val="000000"/>
        </w:rPr>
      </w:pPr>
      <w:r>
        <w:rPr>
          <w:color w:val="000000"/>
        </w:rPr>
        <w:t>입찰참가자는 「청렴계약 이행 서약서」(제안요청서 붙임 2)를 제출하여야 하며, 담합·금품 제공 등 서약 위반 사실이 확인된 경우 낙찰 취소 또는 계약 해지 사유가 됨</w:t>
      </w:r>
    </w:p>
    <w:p>
      <w:pPr>
        <w:spacing w:after="100" w:before="240"/>
        <w:rPr>
          <w:color w:val="000000"/>
        </w:rPr>
      </w:pPr>
      <w:r>
        <w:rPr>
          <w:b/>
          <w:bCs/>
          <w:color w:val="000000"/>
          <w:sz w:val="24"/>
          <w:szCs w:val="24"/>
        </w:rPr>
        <w:t>12. 기타사항</w:t>
      </w:r>
    </w:p>
    <w:p>
      <w:pPr>
        <w:ind w:left="300"/>
        <w:spacing w:after="80" w:line="276" w:lineRule="auto"/>
        <w:rPr>
          <w:color w:val="000000"/>
        </w:rPr>
      </w:pPr>
      <w:r>
        <w:rPr>
          <w:color w:val="000000"/>
        </w:rPr>
        <w:t>가. 본 입찰은 「2026년 AI 청년창업기업 동반성장 바우처 지원사업」 협약에 따른 정부지원금 용역으로, 계약상대자는 전담기관의 점검·정산에 필요한 자료 제출 및 현장 확인에 협조함</w:t>
      </w:r>
    </w:p>
    <w:p>
      <w:pPr>
        <w:ind w:left="300"/>
        <w:spacing w:after="80" w:line="276" w:lineRule="auto"/>
        <w:rPr>
          <w:color w:val="000000"/>
        </w:rPr>
      </w:pPr>
      <w:r>
        <w:rPr>
          <w:color w:val="000000"/>
        </w:rPr>
        <w:t xml:space="preserve">나. 제안서는 A4 가로, 본문 10pt 이상으로 작성하고 페이지 하단 중앙에 일련번호를 부기하며, 분량은 붙임 서식·증빙서류를 제외하고 30페이지 내외로 하고 PDF 형식으로만 제출함. 제안 내용에는 대응하는 요구사항 번호(FUR-001 등)를 명시하고 본문에는 가격 정보를 기재하지 아니하며, 목차 등 세부 작성 규격은 제안요청서 Ⅴ.7에 따름</w:t>
      </w:r>
    </w:p>
    <w:p>
      <w:pPr>
        <w:ind w:left="300"/>
        <w:spacing w:after="80" w:line="276" w:lineRule="auto"/>
        <w:rPr>
          <w:color w:val="000000"/>
        </w:rPr>
      </w:pPr>
      <w:r>
        <w:rPr>
          <w:color w:val="000000"/>
        </w:rPr>
        <w:t xml:space="preserve">다. 본 공고에 대한 질의는 입찰 일정의 질의 접수 마감일시까지 아래 문의처 이메일로 제출하며, 회신은 질의자를 익명 처리하여 나라장터를 통해 전체 공개함. 회신 내용은 본 공고문 및 제안요청서와 동일한 효력을 가지며, 이와 상충하는 경우 회신이 우선함. 구두·전화 질의 답변은 효력이 없음</w:t>
      </w:r>
    </w:p>
    <w:p>
      <w:pPr>
        <w:ind w:left="300"/>
        <w:spacing w:after="80" w:line="276" w:lineRule="auto"/>
        <w:rPr>
          <w:color w:val="000000"/>
        </w:rPr>
      </w:pPr>
      <w:r>
        <w:rPr>
          <w:color w:val="000000"/>
        </w:rPr>
        <w:t xml:space="preserve">라. </w:t>
      </w:r>
      <w:r>
        <w:rPr>
          <w:b/>
          <w:color w:val="000000"/>
        </w:rPr>
        <w:t>제안설명회 및 현장설명회는 실시하지 아니함</w:t>
      </w:r>
    </w:p>
    <w:p>
      <w:pPr>
        <w:ind w:left="300"/>
        <w:spacing w:after="80" w:line="276" w:lineRule="auto"/>
        <w:rPr>
          <w:color w:val="000000"/>
        </w:rPr>
      </w:pPr>
      <w:r>
        <w:rPr>
          <w:color w:val="000000"/>
        </w:rPr>
        <w:t>마. 계약상대자는 계약 체결 시 계약금액의 5%에 해당하는 계약보증금을 납부(보증서 갈음 가능)하여야 하며, 대금은 선금 50% + 잔금 50%의 2회로 분할하여 지급함</w:t>
      </w:r>
    </w:p>
    <w:p>
      <w:pPr>
        <w:ind w:left="300"/>
        <w:spacing w:after="80" w:line="276" w:lineRule="auto"/>
        <w:rPr>
          <w:color w:val="000000"/>
        </w:rPr>
      </w:pPr>
      <w:r>
        <w:rPr>
          <w:color w:val="000000"/>
        </w:rPr>
        <w:t>　1) 선금 : 계약금액의 100분의 50. 계약상대자가 선금 신청서 및 선금 사용계획서와 선금급 이행보증증권(보증금액은 선금액에 보증기간에 해당하는 약정이자상당액을 가산한 금액 이상)을 제출한 날부터 7일 이내 지급함</w:t>
      </w:r>
    </w:p>
    <w:p>
      <w:pPr>
        <w:ind w:left="300"/>
        <w:spacing w:after="80" w:line="276" w:lineRule="auto"/>
        <w:rPr>
          <w:color w:val="000000"/>
        </w:rPr>
      </w:pPr>
      <w:r>
        <w:rPr>
          <w:color w:val="000000"/>
        </w:rPr>
        <w:t>　2) 잔금 : 계약금액의 100분의 50. 최종 검수 합격 후 검수확인서를 작성하고, 계약상대자는 검수 결과 통보일부터 3일 이내 세금계산서를 발행하며, 발주자는 검수 결과 통보일부터 10일 이내이자 2026. 12. 31. 이전에 지급함</w:t>
      </w:r>
    </w:p>
    <w:p>
      <w:pPr>
        <w:ind w:left="300"/>
        <w:spacing w:after="80" w:line="276" w:lineRule="auto"/>
        <w:rPr>
          <w:color w:val="000000"/>
        </w:rPr>
      </w:pPr>
      <w:r>
        <w:rPr>
          <w:color w:val="000000"/>
        </w:rPr>
        <w:t>　3) 선금은 본 과업 수행 목적 외로 사용할 수 없으며, 계약상대자는 잔금 청구 시 선금 사용내역서를 증빙자료와 함께 제출하여야 함</w:t>
      </w:r>
    </w:p>
    <w:p>
      <w:pPr>
        <w:ind w:left="300"/>
        <w:spacing w:after="80" w:line="276" w:lineRule="auto"/>
        <w:rPr>
          <w:color w:val="000000"/>
        </w:rPr>
      </w:pPr>
      <w:r>
        <w:rPr>
          <w:color w:val="000000"/>
        </w:rPr>
        <w:t>　4) 계약 해지, 과업 미이행 또는 검수 불합격에 따른 계약 해지 시 계약상대자는 선금 잔액과 약정이자를 지체 없이 반환하여야 하며, 발주자는 선금급 이행보증증권으로 이를 충당할 수 있음</w:t>
      </w:r>
    </w:p>
    <w:p>
      <w:pPr>
        <w:ind w:left="300"/>
        <w:spacing w:after="80" w:line="276" w:lineRule="auto"/>
        <w:rPr>
          <w:color w:val="000000"/>
        </w:rPr>
      </w:pPr>
      <w:r>
        <w:rPr>
          <w:color w:val="000000"/>
        </w:rPr>
        <w:t>　5) 지연배상금은 지연 1일당 계약금액의 1000분의 2.5(계약금액의 100분의 10 한도)로 하고, 계약상대자의 귀책으로 2026. 12. 18.까지 최종 검수를 완료하지 못한 경우 계약 해지 및 계약보증금 몰수 사유가 되며, 검수 완료 후 12개월간 무상 하자보수를 이행함</w:t>
      </w:r>
    </w:p>
    <w:p>
      <w:pPr>
        <w:ind w:left="300"/>
        <w:spacing w:after="80" w:line="276" w:lineRule="auto"/>
        <w:rPr>
          <w:color w:val="000000"/>
        </w:rPr>
      </w:pPr>
      <w:r>
        <w:rPr>
          <w:color w:val="000000"/>
        </w:rPr>
        <w:t>　※ 선금 지급은 「2026년 AI 청년창업기업 동반성장 바우처 지원사업」 주관기관의 사전 확인을 전제로 하며, 주관기관이 별도 기준을 정한 경우 그 기준에 따름</w:t>
      </w:r>
    </w:p>
    <w:p>
      <w:pPr>
        <w:ind w:left="300"/>
        <w:spacing w:after="80" w:line="276" w:lineRule="auto"/>
        <w:rPr>
          <w:color w:val="000000"/>
        </w:rPr>
      </w:pPr>
      <w:r>
        <w:rPr>
          <w:color w:val="000000"/>
        </w:rPr>
        <w:t xml:space="preserve">바. 과업 수행 </w:t>
      </w:r>
      <w:r>
        <w:rPr>
          <w:rFonts w:hint="eastAsia"/>
          <w:color w:val="000000"/>
        </w:rPr>
        <w:t>중</w:t>
      </w:r>
      <w:r>
        <w:rPr>
          <w:color w:val="000000"/>
        </w:rPr>
        <w:t xml:space="preserve"> 개인정보 처리 시 「개인정보 보호법」 제26조에 따른 위탁 계약을 체결함</w:t>
      </w:r>
    </w:p>
    <w:p>
      <w:pPr>
        <w:ind w:left="300"/>
        <w:spacing w:after="80" w:line="276" w:lineRule="auto"/>
        <w:rPr>
          <w:color w:val="000000"/>
        </w:rPr>
      </w:pPr>
      <w:r>
        <w:rPr>
          <w:color w:val="000000"/>
        </w:rPr>
        <w:t xml:space="preserve">사. 질의 회신, 본 공고문, 제안요청서의 내용이 상이한 경우 질의 회신, 본 공고문, 제안요청서의 순으로 우선하며, 제안요청서의 세부 내용은 나라장터 첨부파일을 참조함</w:t>
      </w:r>
    </w:p>
    <w:p>
      <w:pPr>
        <w:ind w:left="300"/>
        <w:spacing w:after="80" w:line="276" w:lineRule="auto"/>
        <w:rPr>
          <w:color w:val="000000"/>
        </w:rPr>
      </w:pPr>
      <w:r>
        <w:rPr>
          <w:color w:val="000000"/>
        </w:rPr>
        <w:t>아. 본 공고에 명시되지 아니한 사항은 관계 법령 및 발주자의 내부 기준에 따름</w:t>
      </w:r>
    </w:p>
    <w:p>
      <w:pPr>
        <w:spacing w:after="100" w:before="240"/>
        <w:rPr>
          <w:color w:val="000000"/>
        </w:rPr>
      </w:pPr>
      <w:r>
        <w:rPr>
          <w:b/>
          <w:bCs/>
          <w:color w:val="000000"/>
          <w:sz w:val="24"/>
          <w:szCs w:val="24"/>
        </w:rPr>
        <w:t>13. 문의처</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ellMar>
          <w:left w:w="10" w:type="dxa"/>
          <w:right w:w="10" w:type="dxa"/>
        </w:tblCellMar>
      </w:tblPr>
      <w:tblGrid>
        <w:gridCol w:w="2070"/>
        <w:gridCol w:w="6930"/>
      </w:tblGrid>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과업 내용 문의</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 xml:space="preserve"/>
            </w:r>
            <w:r>
              <w:rPr>
                <w:color w:val="000000"/>
              </w:rPr>
              <w:t xml:space="preserve">본사 대표이사 안주현</w:t>
            </w:r>
            <w:r>
              <w:rPr>
                <w:color w:val="000000"/>
                <w:sz w:val="18"/>
                <w:szCs w:val="18"/>
              </w:rPr>
              <w:t xml:space="preserve">  TEL) </w:t>
            </w:r>
            <w:r>
              <w:rPr>
                <w:color w:val="000000"/>
              </w:rPr>
              <w:t xml:space="preserve">1533-6577</w:t>
            </w:r>
            <w:r>
              <w:rPr>
                <w:color w:val="000000"/>
                <w:sz w:val="18"/>
                <w:szCs w:val="18"/>
              </w:rPr>
              <w:br/>
              <w:t xml:space="preserve">E-mail) </w:t>
            </w:r>
            <w:r>
              <w:rPr>
                <w:color w:val="000000"/>
              </w:rPr>
              <w:t xml:space="preserve">jayce@nangmaninc.com</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입찰·계약 문의</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 xml:space="preserve"/>
            </w:r>
            <w:r>
              <w:rPr>
                <w:color w:val="000000"/>
              </w:rPr>
              <w:t xml:space="preserve">본사 대표이사 안주현</w:t>
            </w:r>
            <w:r>
              <w:rPr>
                <w:color w:val="000000"/>
                <w:sz w:val="18"/>
                <w:szCs w:val="18"/>
              </w:rPr>
              <w:t xml:space="preserve">  TEL) </w:t>
            </w:r>
            <w:r>
              <w:rPr>
                <w:color w:val="000000"/>
              </w:rPr>
              <w:t xml:space="preserve">1533-6577</w:t>
            </w:r>
            <w:r>
              <w:rPr>
                <w:color w:val="000000"/>
                <w:sz w:val="18"/>
                <w:szCs w:val="18"/>
              </w:rPr>
              <w:br/>
              <w:t xml:space="preserve">E-mail) </w:t>
            </w:r>
            <w:r>
              <w:rPr>
                <w:color w:val="000000"/>
              </w:rPr>
              <w:t xml:space="preserve">jayce@nangmaninc.com</w:t>
            </w:r>
          </w:p>
        </w:tc>
      </w:tr>
      <w:tr>
        <w:tc>
          <w:tcPr>
            <w:tcW w:w="2070" w:type="dxa"/>
            <w:tcBorders>
              <w:top w:val="single" w:sz="4" w:space="0" w:color="808080"/>
              <w:left w:val="single" w:sz="4" w:space="0" w:color="808080"/>
              <w:bottom w:val="single" w:sz="4" w:space="0" w:color="808080"/>
              <w:right w:val="single" w:sz="4" w:space="0" w:color="808080"/>
            </w:tcBorders>
            <w:shd w:val="clear" w:color="305496" w:fill="305496"/>
            <w:tcMar>
              <w:top w:w="40" w:type="dxa"/>
              <w:left w:w="80" w:type="dxa"/>
              <w:bottom w:w="40" w:type="dxa"/>
              <w:right w:w="80" w:type="dxa"/>
            </w:tcMar>
            <w:vAlign w:val="center"/>
          </w:tcPr>
          <w:p>
            <w:pPr>
              <w:jc w:val="center"/>
              <w:spacing w:line="260" w:lineRule="auto"/>
              <w:rPr>
                <w:color w:val="FFFFFF"/>
              </w:rPr>
            </w:pPr>
            <w:r>
              <w:rPr>
                <w:b/>
                <w:bCs/>
                <w:color w:val="FFFFFF"/>
                <w:sz w:val="18"/>
                <w:szCs w:val="18"/>
              </w:rPr>
              <w:t>나라장터 시스템 문의</w:t>
            </w:r>
          </w:p>
        </w:tc>
        <w:tc>
          <w:tcPr>
            <w:tcW w:w="693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pPr>
              <w:spacing w:line="260" w:lineRule="auto"/>
              <w:rPr>
                <w:color w:val="000000"/>
              </w:rPr>
            </w:pPr>
            <w:r>
              <w:rPr>
                <w:color w:val="000000"/>
                <w:sz w:val="18"/>
                <w:szCs w:val="18"/>
              </w:rPr>
              <w:t xml:space="preserve">정부조달콜센터  TEL) 1588-0800</w:t>
            </w:r>
          </w:p>
        </w:tc>
      </w:tr>
    </w:tbl>
    <w:p>
      <w:pPr>
        <w:spacing w:after="60" w:line="276" w:lineRule="auto"/>
        <w:rPr>
          <w:color w:val="000000"/>
        </w:rPr>
      </w:pPr>
    </w:p>
    <w:p>
      <w:pPr>
        <w:keepNext/>
        <w:ind w:left="300"/>
        <w:spacing w:after="80" w:line="276" w:lineRule="auto"/>
        <w:rPr>
          <w:color w:val="000000"/>
        </w:rPr>
      </w:pPr>
      <w:r>
        <w:rPr>
          <w:color w:val="000000"/>
        </w:rPr>
        <w:t xml:space="preserve">첨부 : 1. 제안요청서 1부</w:t>
      </w:r>
    </w:p>
    <w:p>
      <w:pPr>
        <w:keepNext/>
        <w:ind w:left="300"/>
        <w:spacing w:after="80" w:line="276" w:lineRule="auto"/>
        <w:rPr>
          <w:color w:val="000000"/>
        </w:rPr>
      </w:pPr>
      <w:r>
        <w:rPr>
          <w:lang w:eastAsia="ko-KR"/>
          <w:color w:val="000000"/>
          <w:rtl w:val="off"/>
        </w:rPr>
        <w:t xml:space="preserve"> </w:t>
      </w:r>
      <w:r>
        <w:rPr>
          <w:color w:val="000000"/>
        </w:rPr>
        <w:t xml:space="preserve">       2. 제안요청서 붙임 서식 (</w:t>
      </w:r>
      <w:r>
        <w:rPr>
          <w:rFonts w:hint="eastAsia"/>
          <w:color w:val="000000"/>
        </w:rPr>
        <w:t>붙임</w:t>
      </w:r>
      <w:r>
        <w:rPr>
          <w:color w:val="000000"/>
        </w:rPr>
        <w:t xml:space="preserve"> 1 ~ 붙임 11)  1부.  끝.</w:t>
      </w:r>
    </w:p>
    <w:p>
      <w:pPr>
        <w:keepNext/>
        <w:spacing w:after="60" w:line="276" w:lineRule="auto"/>
        <w:rPr>
          <w:color w:val="000000"/>
        </w:rPr>
      </w:pPr>
    </w:p>
    <w:p>
      <w:pPr>
        <w:keepNext/>
        <w:jc w:val="center"/>
        <w:spacing w:after="80" w:line="276" w:lineRule="auto"/>
        <w:rPr>
          <w:color w:val="000000"/>
        </w:rPr>
      </w:pPr>
      <w:r>
        <w:rPr>
          <w:color w:val="000000"/>
        </w:rPr>
        <w:t xml:space="preserve">2026년  9월  29일</w:t>
      </w:r>
    </w:p>
    <w:p>
      <w:pPr>
        <w:keepNext/>
        <w:spacing w:after="60" w:line="276" w:lineRule="auto"/>
        <w:rPr>
          <w:color w:val="000000"/>
        </w:rPr>
      </w:pPr>
    </w:p>
    <w:p>
      <w:pPr>
        <w:jc w:val="center"/>
        <w:spacing w:after="80" w:line="276" w:lineRule="auto"/>
        <w:rPr>
          <w:color w:val="000000"/>
        </w:rPr>
      </w:pPr>
      <w:r>
        <w:rPr>
          <w:b/>
          <w:bCs/>
          <w:color w:val="000000"/>
          <w:sz w:val="26"/>
          <w:szCs w:val="26"/>
        </w:rPr>
        <w:t xml:space="preserve">주식회사 낭만상회 대표이사 안주현  (직인</w:t>
      </w:r>
      <w:r>
        <w:rPr>
          <w:rFonts w:hint="eastAsia"/>
          <w:b/>
          <w:bCs/>
          <w:color w:val="000000"/>
          <w:sz w:val="26"/>
          <w:szCs w:val="26"/>
        </w:rPr>
        <w:t>생략</w:t>
      </w:r>
      <w:r>
        <w:rPr>
          <w:b/>
          <w:bCs/>
          <w:color w:val="000000"/>
          <w:sz w:val="26"/>
          <w:szCs w:val="26"/>
        </w:rPr>
        <w:t>)</w:t>
      </w:r>
    </w:p>
    <w:sectPr>
      <w:pgSz w:w="11906" w:h="16838"/>
      <w:pgMar w:top="1440" w:right="1440" w:bottom="1440" w:left="1440" w:header="708" w:footer="708" w:gutter="0"/>
      <w:cols w:space="720"/>
      <w:docGrid w:linePitch="360"/>
      <w:headerReference w:type="even" r:id="rId1"/>
      <w:headerReference w:type="first" r:id="rId2"/>
      <w:footerReference w:type="even" r:id="rId3"/>
      <w:footerReference w:type="first" r:id="rId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family w:val="Malgun Gothic"/>
    <w:charset w:val="00"/>
    <w:notTrueType w:val="false"/>
    <w:sig w:usb0="9000002F" w:usb1="29D77CFB" w:usb2="00000012" w:usb3="00000001" w:csb0="00080001"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ab"/>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displayBackgroundShape/>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맑은 고딕" w:eastAsia="맑은 고딕" w:hAnsi="맑은 고딕" w:cs="맑은 고딕"/>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09" w:unhideWhenUsed="1"/>
    <w:lsdException w:name="toc 2" w:semiHidden="1" w:uiPriority="309" w:unhideWhenUsed="1"/>
    <w:lsdException w:name="toc 3" w:semiHidden="1" w:uiPriority="309" w:unhideWhenUsed="1"/>
    <w:lsdException w:name="toc 4" w:semiHidden="1" w:uiPriority="309" w:unhideWhenUsed="1"/>
    <w:lsdException w:name="toc 5" w:semiHidden="1" w:uiPriority="309" w:unhideWhenUsed="1"/>
    <w:lsdException w:name="toc 6" w:semiHidden="1" w:uiPriority="309" w:unhideWhenUsed="1"/>
    <w:lsdException w:name="toc 7" w:semiHidden="1" w:uiPriority="309" w:unhideWhenUsed="1"/>
    <w:lsdException w:name="toc 8" w:semiHidden="1" w:uiPriority="309" w:unhideWhenUsed="1"/>
    <w:lsdException w:name="toc 9" w:semiHidden="1" w:uiPriority="30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0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5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30" w:qFormat="1"/>
    <w:lsdException w:name="Emphasis" w:uiPriority="12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09"/>
    <w:lsdException w:name="Table Theme" w:semiHidden="1" w:unhideWhenUsed="1"/>
    <w:lsdException w:name="Placeholder Text" w:semiHidden="1"/>
    <w:lsdException w:name="No Spacing" w:uiPriority="1" w:qFormat="1"/>
    <w:lsdException w:name="Light Shading" w:uiPriority="822"/>
    <w:lsdException w:name="Light List" w:uiPriority="823"/>
    <w:lsdException w:name="Light Grid" w:uiPriority="824"/>
    <w:lsdException w:name="Medium Shading 1" w:uiPriority="825"/>
    <w:lsdException w:name="Medium Shading 2" w:uiPriority="1432"/>
    <w:lsdException w:name="Medium List 1" w:uiPriority="1433"/>
    <w:lsdException w:name="Medium List 2" w:uiPriority="1536"/>
    <w:lsdException w:name="Medium Grid 1" w:uiPriority="1537"/>
    <w:lsdException w:name="Medium Grid 2" w:uiPriority="1544"/>
    <w:lsdException w:name="Medium Grid 3" w:uiPriority="1545"/>
    <w:lsdException w:name="Dark List" w:uiPriority="1576"/>
    <w:lsdException w:name="Colorful Shading" w:uiPriority="1577"/>
    <w:lsdException w:name="Colorful List" w:uiPriority="1584"/>
    <w:lsdException w:name="Colorful Grid" w:uiPriority="1585"/>
    <w:lsdException w:name="Light Shading Accent 1" w:uiPriority="822"/>
    <w:lsdException w:name="Light List Accent 1" w:uiPriority="823"/>
    <w:lsdException w:name="Light Grid Accent 1" w:uiPriority="824"/>
    <w:lsdException w:name="Medium Shading 1 Accent 1" w:uiPriority="825"/>
    <w:lsdException w:name="Medium Shading 2 Accent 1" w:uiPriority="1432"/>
    <w:lsdException w:name="Medium List 1 Accent 1" w:uiPriority="1433"/>
    <w:lsdException w:name="Revision" w:semiHidden="1"/>
    <w:lsdException w:name="List Paragraph" w:uiPriority="304" w:qFormat="1"/>
    <w:lsdException w:name="Quote" w:uiPriority="257" w:qFormat="1"/>
    <w:lsdException w:name="Intense Quote" w:uiPriority="276" w:qFormat="1"/>
    <w:lsdException w:name="Medium List 2 Accent 1" w:uiPriority="1536"/>
    <w:lsdException w:name="Medium Grid 1 Accent 1" w:uiPriority="1537"/>
    <w:lsdException w:name="Medium Grid 2 Accent 1" w:uiPriority="1544"/>
    <w:lsdException w:name="Medium Grid 3 Accent 1" w:uiPriority="1545"/>
    <w:lsdException w:name="Dark List Accent 1" w:uiPriority="1576"/>
    <w:lsdException w:name="Colorful Shading Accent 1" w:uiPriority="1577"/>
    <w:lsdException w:name="Colorful List Accent 1" w:uiPriority="1584"/>
    <w:lsdException w:name="Colorful Grid Accent 1" w:uiPriority="1585"/>
    <w:lsdException w:name="Light Shading Accent 2" w:uiPriority="822"/>
    <w:lsdException w:name="Light List Accent 2" w:uiPriority="823"/>
    <w:lsdException w:name="Light Grid Accent 2" w:uiPriority="824"/>
    <w:lsdException w:name="Medium Shading 1 Accent 2" w:uiPriority="825"/>
    <w:lsdException w:name="Medium Shading 2 Accent 2" w:uiPriority="1432"/>
    <w:lsdException w:name="Medium List 1 Accent 2" w:uiPriority="1433"/>
    <w:lsdException w:name="Medium List 2 Accent 2" w:uiPriority="1536"/>
    <w:lsdException w:name="Medium Grid 1 Accent 2" w:uiPriority="1537"/>
    <w:lsdException w:name="Medium Grid 2 Accent 2" w:uiPriority="1544"/>
    <w:lsdException w:name="Medium Grid 3 Accent 2" w:uiPriority="1545"/>
    <w:lsdException w:name="Dark List Accent 2" w:uiPriority="1576"/>
    <w:lsdException w:name="Colorful Shading Accent 2" w:uiPriority="1577"/>
    <w:lsdException w:name="Colorful List Accent 2" w:uiPriority="1584"/>
    <w:lsdException w:name="Colorful Grid Accent 2" w:uiPriority="1585"/>
    <w:lsdException w:name="Light Shading Accent 3" w:uiPriority="822"/>
    <w:lsdException w:name="Light List Accent 3" w:uiPriority="823"/>
    <w:lsdException w:name="Light Grid Accent 3" w:uiPriority="824"/>
    <w:lsdException w:name="Medium Shading 1 Accent 3" w:uiPriority="825"/>
    <w:lsdException w:name="Medium Shading 2 Accent 3" w:uiPriority="1432"/>
    <w:lsdException w:name="Medium List 1 Accent 3" w:uiPriority="1433"/>
    <w:lsdException w:name="Medium List 2 Accent 3" w:uiPriority="1536"/>
    <w:lsdException w:name="Medium Grid 1 Accent 3" w:uiPriority="1537"/>
    <w:lsdException w:name="Medium Grid 2 Accent 3" w:uiPriority="1544"/>
    <w:lsdException w:name="Medium Grid 3 Accent 3" w:uiPriority="1545"/>
    <w:lsdException w:name="Dark List Accent 3" w:uiPriority="1576"/>
    <w:lsdException w:name="Colorful Shading Accent 3" w:uiPriority="1577"/>
    <w:lsdException w:name="Colorful List Accent 3" w:uiPriority="1584"/>
    <w:lsdException w:name="Colorful Grid Accent 3" w:uiPriority="1585"/>
    <w:lsdException w:name="Light Shading Accent 4" w:uiPriority="822"/>
    <w:lsdException w:name="Light List Accent 4" w:uiPriority="823"/>
    <w:lsdException w:name="Light Grid Accent 4" w:uiPriority="824"/>
    <w:lsdException w:name="Medium Shading 1 Accent 4" w:uiPriority="825"/>
    <w:lsdException w:name="Medium Shading 2 Accent 4" w:uiPriority="1432"/>
    <w:lsdException w:name="Medium List 1 Accent 4" w:uiPriority="1433"/>
    <w:lsdException w:name="Medium List 2 Accent 4" w:uiPriority="1536"/>
    <w:lsdException w:name="Medium Grid 1 Accent 4" w:uiPriority="1537"/>
    <w:lsdException w:name="Medium Grid 2 Accent 4" w:uiPriority="1544"/>
    <w:lsdException w:name="Medium Grid 3 Accent 4" w:uiPriority="1545"/>
    <w:lsdException w:name="Dark List Accent 4" w:uiPriority="1576"/>
    <w:lsdException w:name="Colorful Shading Accent 4" w:uiPriority="1577"/>
    <w:lsdException w:name="Colorful List Accent 4" w:uiPriority="1584"/>
    <w:lsdException w:name="Colorful Grid Accent 4" w:uiPriority="1585"/>
    <w:lsdException w:name="Light Shading Accent 5" w:uiPriority="822"/>
    <w:lsdException w:name="Light List Accent 5" w:uiPriority="823"/>
    <w:lsdException w:name="Light Grid Accent 5" w:uiPriority="824"/>
    <w:lsdException w:name="Medium Shading 1 Accent 5" w:uiPriority="825"/>
    <w:lsdException w:name="Medium Shading 2 Accent 5" w:uiPriority="1432"/>
    <w:lsdException w:name="Medium List 1 Accent 5" w:uiPriority="1433"/>
    <w:lsdException w:name="Medium List 2 Accent 5" w:uiPriority="1536"/>
    <w:lsdException w:name="Medium Grid 1 Accent 5" w:uiPriority="1537"/>
    <w:lsdException w:name="Medium Grid 2 Accent 5" w:uiPriority="1544"/>
    <w:lsdException w:name="Medium Grid 3 Accent 5" w:uiPriority="1545"/>
    <w:lsdException w:name="Dark List Accent 5" w:uiPriority="1576"/>
    <w:lsdException w:name="Colorful Shading Accent 5" w:uiPriority="1577"/>
    <w:lsdException w:name="Colorful List Accent 5" w:uiPriority="1584"/>
    <w:lsdException w:name="Colorful Grid Accent 5" w:uiPriority="1585"/>
    <w:lsdException w:name="Light Shading Accent 6" w:uiPriority="822"/>
    <w:lsdException w:name="Light List Accent 6" w:uiPriority="823"/>
    <w:lsdException w:name="Light Grid Accent 6" w:uiPriority="824"/>
    <w:lsdException w:name="Medium Shading 1 Accent 6" w:uiPriority="825"/>
    <w:lsdException w:name="Medium Shading 2 Accent 6" w:uiPriority="1432"/>
    <w:lsdException w:name="Medium List 1 Accent 6" w:uiPriority="1433"/>
    <w:lsdException w:name="Medium List 2 Accent 6" w:uiPriority="1536"/>
    <w:lsdException w:name="Medium Grid 1 Accent 6" w:uiPriority="1537"/>
    <w:lsdException w:name="Medium Grid 2 Accent 6" w:uiPriority="1544"/>
    <w:lsdException w:name="Medium Grid 3 Accent 6" w:uiPriority="1545"/>
    <w:lsdException w:name="Dark List Accent 6" w:uiPriority="1576"/>
    <w:lsdException w:name="Colorful Shading Accent 6" w:uiPriority="1577"/>
    <w:lsdException w:name="Colorful List Accent 6" w:uiPriority="1584"/>
    <w:lsdException w:name="Colorful Grid Accent 6" w:uiPriority="1585"/>
    <w:lsdException w:name="Subtle Emphasis" w:uiPriority="85" w:qFormat="1"/>
    <w:lsdException w:name="Intense Emphasis" w:uiPriority="129" w:qFormat="1"/>
    <w:lsdException w:name="Subtle Reference" w:uiPriority="277" w:qFormat="1"/>
    <w:lsdException w:name="Intense Reference" w:uiPriority="296" w:qFormat="1"/>
    <w:lsdException w:name="Book Title" w:uiPriority="297" w:qFormat="1"/>
    <w:lsdException w:name="Bibliography" w:semiHidden="1" w:uiPriority="307" w:unhideWhenUsed="1"/>
    <w:lsdException w:name="TOC Heading" w:semiHidden="1" w:uiPriority="309" w:unhideWhenUsed="1" w:qFormat="1"/>
    <w:lsdException w:name="Plain Table 1" w:uiPriority="599"/>
    <w:lsdException w:name="Plain Table 2" w:uiPriority="600"/>
    <w:lsdException w:name="Plain Table 3" w:uiPriority="601"/>
    <w:lsdException w:name="Plain Table 4" w:uiPriority="608"/>
    <w:lsdException w:name="Plain Table 5" w:uiPriority="609"/>
    <w:lsdException w:name="Grid Table Light" w:uiPriority="598"/>
    <w:lsdException w:name="Grid Table 1 Light" w:uiPriority="628"/>
    <w:lsdException w:name="Grid Table 2" w:uiPriority="629"/>
    <w:lsdException w:name="Grid Table 3" w:uiPriority="630"/>
    <w:lsdException w:name="Grid Table 4" w:uiPriority="631"/>
    <w:lsdException w:name="Grid Table 5 Dark" w:uiPriority="662"/>
    <w:lsdException w:name="Grid Table 6 Colorful" w:uiPriority="663"/>
    <w:lsdException w:name="Grid Table 7 Colorful" w:uiPriority="772"/>
    <w:lsdException w:name="Grid Table 1 Light Accent 1" w:uiPriority="628"/>
    <w:lsdException w:name="Grid Table 2 Accent 1" w:uiPriority="629"/>
    <w:lsdException w:name="Grid Table 3 Accent 1" w:uiPriority="630"/>
    <w:lsdException w:name="Grid Table 4 Accent 1" w:uiPriority="631"/>
    <w:lsdException w:name="Grid Table 5 Dark Accent 1" w:uiPriority="662"/>
    <w:lsdException w:name="Grid Table 6 Colorful Accent 1" w:uiPriority="663"/>
    <w:lsdException w:name="Grid Table 7 Colorful Accent 1" w:uiPriority="772"/>
    <w:lsdException w:name="Grid Table 1 Light Accent 2" w:uiPriority="628"/>
    <w:lsdException w:name="Grid Table 2 Accent 2" w:uiPriority="629"/>
    <w:lsdException w:name="Grid Table 3 Accent 2" w:uiPriority="630"/>
    <w:lsdException w:name="Grid Table 4 Accent 2" w:uiPriority="631"/>
    <w:lsdException w:name="Grid Table 5 Dark Accent 2" w:uiPriority="662"/>
    <w:lsdException w:name="Grid Table 6 Colorful Accent 2" w:uiPriority="663"/>
    <w:lsdException w:name="Grid Table 7 Colorful Accent 2" w:uiPriority="772"/>
    <w:lsdException w:name="Grid Table 1 Light Accent 3" w:uiPriority="628"/>
    <w:lsdException w:name="Grid Table 2 Accent 3" w:uiPriority="629"/>
    <w:lsdException w:name="Grid Table 3 Accent 3" w:uiPriority="630"/>
    <w:lsdException w:name="Grid Table 4 Accent 3" w:uiPriority="631"/>
    <w:lsdException w:name="Grid Table 5 Dark Accent 3" w:uiPriority="662"/>
    <w:lsdException w:name="Grid Table 6 Colorful Accent 3" w:uiPriority="663"/>
    <w:lsdException w:name="Grid Table 7 Colorful Accent 3" w:uiPriority="772"/>
    <w:lsdException w:name="Grid Table 1 Light Accent 4" w:uiPriority="628"/>
    <w:lsdException w:name="Grid Table 2 Accent 4" w:uiPriority="629"/>
    <w:lsdException w:name="Grid Table 3 Accent 4" w:uiPriority="630"/>
    <w:lsdException w:name="Grid Table 4 Accent 4" w:uiPriority="631"/>
    <w:lsdException w:name="Grid Table 5 Dark Accent 4" w:uiPriority="662"/>
    <w:lsdException w:name="Grid Table 6 Colorful Accent 4" w:uiPriority="663"/>
    <w:lsdException w:name="Grid Table 7 Colorful Accent 4" w:uiPriority="772"/>
    <w:lsdException w:name="Grid Table 1 Light Accent 5" w:uiPriority="628"/>
    <w:lsdException w:name="Grid Table 2 Accent 5" w:uiPriority="629"/>
    <w:lsdException w:name="Grid Table 3 Accent 5" w:uiPriority="630"/>
    <w:lsdException w:name="Grid Table 4 Accent 5" w:uiPriority="631"/>
    <w:lsdException w:name="Grid Table 5 Dark Accent 5" w:uiPriority="662"/>
    <w:lsdException w:name="Grid Table 6 Colorful Accent 5" w:uiPriority="663"/>
    <w:lsdException w:name="Grid Table 7 Colorful Accent 5" w:uiPriority="772"/>
    <w:lsdException w:name="Grid Table 1 Light Accent 6" w:uiPriority="628"/>
    <w:lsdException w:name="Grid Table 2 Accent 6" w:uiPriority="629"/>
    <w:lsdException w:name="Grid Table 3 Accent 6" w:uiPriority="630"/>
    <w:lsdException w:name="Grid Table 4 Accent 6" w:uiPriority="631"/>
    <w:lsdException w:name="Grid Table 5 Dark Accent 6" w:uiPriority="662"/>
    <w:lsdException w:name="Grid Table 6 Colorful Accent 6" w:uiPriority="663"/>
    <w:lsdException w:name="Grid Table 7 Colorful Accent 6" w:uiPriority="772"/>
    <w:lsdException w:name="List Table 1 Light" w:uiPriority="628"/>
    <w:lsdException w:name="List Table 2" w:uiPriority="629"/>
    <w:lsdException w:name="List Table 3" w:uiPriority="630"/>
    <w:lsdException w:name="List Table 4" w:uiPriority="631"/>
    <w:lsdException w:name="List Table 5 Dark" w:uiPriority="662"/>
    <w:lsdException w:name="List Table 6 Colorful" w:uiPriority="663"/>
    <w:lsdException w:name="List Table 7 Colorful" w:uiPriority="772"/>
    <w:lsdException w:name="List Table 1 Light Accent 1" w:uiPriority="628"/>
    <w:lsdException w:name="List Table 2 Accent 1" w:uiPriority="629"/>
    <w:lsdException w:name="List Table 3 Accent 1" w:uiPriority="630"/>
    <w:lsdException w:name="List Table 4 Accent 1" w:uiPriority="631"/>
    <w:lsdException w:name="List Table 5 Dark Accent 1" w:uiPriority="662"/>
    <w:lsdException w:name="List Table 6 Colorful Accent 1" w:uiPriority="663"/>
    <w:lsdException w:name="List Table 7 Colorful Accent 1" w:uiPriority="772"/>
    <w:lsdException w:name="List Table 1 Light Accent 2" w:uiPriority="628"/>
    <w:lsdException w:name="List Table 2 Accent 2" w:uiPriority="629"/>
    <w:lsdException w:name="List Table 3 Accent 2" w:uiPriority="630"/>
    <w:lsdException w:name="List Table 4 Accent 2" w:uiPriority="631"/>
    <w:lsdException w:name="List Table 5 Dark Accent 2" w:uiPriority="662"/>
    <w:lsdException w:name="List Table 6 Colorful Accent 2" w:uiPriority="663"/>
    <w:lsdException w:name="List Table 7 Colorful Accent 2" w:uiPriority="772"/>
    <w:lsdException w:name="List Table 1 Light Accent 3" w:uiPriority="628"/>
    <w:lsdException w:name="List Table 2 Accent 3" w:uiPriority="629"/>
    <w:lsdException w:name="List Table 3 Accent 3" w:uiPriority="630"/>
    <w:lsdException w:name="List Table 4 Accent 3" w:uiPriority="631"/>
    <w:lsdException w:name="List Table 5 Dark Accent 3" w:uiPriority="662"/>
    <w:lsdException w:name="List Table 6 Colorful Accent 3" w:uiPriority="663"/>
    <w:lsdException w:name="List Table 7 Colorful Accent 3" w:uiPriority="772"/>
    <w:lsdException w:name="List Table 1 Light Accent 4" w:uiPriority="628"/>
    <w:lsdException w:name="List Table 2 Accent 4" w:uiPriority="629"/>
    <w:lsdException w:name="List Table 3 Accent 4" w:uiPriority="630"/>
    <w:lsdException w:name="List Table 4 Accent 4" w:uiPriority="631"/>
    <w:lsdException w:name="List Table 5 Dark Accent 4" w:uiPriority="662"/>
    <w:lsdException w:name="List Table 6 Colorful Accent 4" w:uiPriority="663"/>
    <w:lsdException w:name="List Table 7 Colorful Accent 4" w:uiPriority="772"/>
    <w:lsdException w:name="List Table 1 Light Accent 5" w:uiPriority="628"/>
    <w:lsdException w:name="List Table 2 Accent 5" w:uiPriority="629"/>
    <w:lsdException w:name="List Table 3 Accent 5" w:uiPriority="630"/>
    <w:lsdException w:name="List Table 4 Accent 5" w:uiPriority="631"/>
    <w:lsdException w:name="List Table 5 Dark Accent 5" w:uiPriority="662"/>
    <w:lsdException w:name="List Table 6 Colorful Accent 5" w:uiPriority="663"/>
    <w:lsdException w:name="List Table 7 Colorful Accent 5" w:uiPriority="772"/>
    <w:lsdException w:name="List Table 1 Light Accent 6" w:uiPriority="628"/>
    <w:lsdException w:name="List Table 2 Accent 6" w:uiPriority="629"/>
    <w:lsdException w:name="List Table 3 Accent 6" w:uiPriority="630"/>
    <w:lsdException w:name="List Table 4 Accent 6" w:uiPriority="631"/>
    <w:lsdException w:name="List Table 5 Dark Accent 6" w:uiPriority="662"/>
    <w:lsdException w:name="List Table 6 Colorful Accent 6" w:uiPriority="663"/>
    <w:lsdException w:name="List Table 7 Colorful Accent 6" w:uiPriority="77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paragraph" w:styleId="1">
    <w:name w:val="heading 1"/>
    <w:uiPriority w:val="9"/>
    <w:qFormat/>
    <w:pPr>
      <w:outlineLvl w:val="0"/>
    </w:pPr>
    <w:rPr>
      <w:color w:val="2E74B5"/>
      <w:sz w:val="32"/>
      <w:szCs w:val="32"/>
    </w:rPr>
  </w:style>
  <w:style w:type="paragraph" w:styleId="2">
    <w:name w:val="heading 2"/>
    <w:uiPriority w:val="9"/>
    <w:qFormat/>
    <w:semiHidden/>
    <w:unhideWhenUsed/>
    <w:pPr>
      <w:outlineLvl w:val="1"/>
    </w:pPr>
    <w:rPr>
      <w:color w:val="2E74B5"/>
      <w:sz w:val="26"/>
      <w:szCs w:val="26"/>
    </w:rPr>
  </w:style>
  <w:style w:type="paragraph" w:styleId="3">
    <w:name w:val="heading 3"/>
    <w:uiPriority w:val="9"/>
    <w:qFormat/>
    <w:semiHidden/>
    <w:unhideWhenUsed/>
    <w:pPr>
      <w:outlineLvl w:val="2"/>
    </w:pPr>
    <w:rPr>
      <w:color w:val="1F4D78"/>
      <w:sz w:val="24"/>
      <w:szCs w:val="24"/>
    </w:rPr>
  </w:style>
  <w:style w:type="paragraph" w:styleId="4">
    <w:name w:val="heading 4"/>
    <w:uiPriority w:val="9"/>
    <w:qFormat/>
    <w:semiHidden/>
    <w:unhideWhenUsed/>
    <w:pPr>
      <w:outlineLvl w:val="3"/>
    </w:pPr>
    <w:rPr>
      <w:i/>
      <w:iCs/>
      <w:color w:val="2E74B5"/>
    </w:rPr>
  </w:style>
  <w:style w:type="paragraph" w:styleId="5">
    <w:name w:val="heading 5"/>
    <w:uiPriority w:val="9"/>
    <w:qFormat/>
    <w:semiHidden/>
    <w:unhideWhenUsed/>
    <w:pPr>
      <w:outlineLvl w:val="4"/>
    </w:pPr>
    <w:rPr>
      <w:color w:val="2E74B5"/>
    </w:rPr>
  </w:style>
  <w:style w:type="paragraph" w:styleId="6">
    <w:name w:val="heading 6"/>
    <w:uiPriority w:val="9"/>
    <w:qFormat/>
    <w:semiHidden/>
    <w:unhideWhenUsed/>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color="auto"/>
    </w:rPr>
  </w:style>
  <w:style w:type="character" w:styleId="a6">
    <w:name w:val="footnote reference"/>
    <w:uiPriority w:val="99"/>
    <w:semiHidden/>
    <w:unhideWhenUsed/>
    <w:rPr>
      <w:vertAlign w:val="superscript"/>
    </w:rPr>
  </w:style>
  <w:style w:type="paragraph" w:styleId="a7">
    <w:name w:val="footnote text"/>
    <w:uiPriority w:val="99"/>
    <w:link w:val="Char"/>
    <w:semiHidden/>
    <w:unhideWhenUsed/>
  </w:style>
  <w:style w:type="character" w:customStyle="1" w:styleId="Char">
    <w:name w:val="각주 텍스트 Char"/>
    <w:uiPriority w:val="99"/>
    <w:link w:val="a7"/>
    <w:semiHidden/>
    <w:unhideWhenUsed/>
    <w:rPr>
      <w:sz w:val="20"/>
      <w:szCs w:val="20"/>
    </w:rPr>
  </w:style>
  <w:style w:type="character" w:styleId="a8">
    <w:name w:val="endnote reference"/>
    <w:uiPriority w:val="99"/>
    <w:semiHidden/>
    <w:unhideWhenUsed/>
    <w:rPr>
      <w:vertAlign w:val="superscript"/>
    </w:rPr>
  </w:style>
  <w:style w:type="paragraph" w:styleId="a9">
    <w:name w:val="endnote text"/>
    <w:uiPriority w:val="99"/>
    <w:link w:val="Char0"/>
    <w:semiHidden/>
    <w:unhideWhenUsed/>
  </w:style>
  <w:style w:type="character" w:customStyle="1" w:styleId="Char0">
    <w:name w:val="미주 텍스트 Char"/>
    <w:uiPriority w:val="99"/>
    <w:link w:val="a9"/>
    <w:semiHidden/>
    <w:unhideWhenUsed/>
    <w:rPr>
      <w:sz w:val="20"/>
      <w:szCs w:val="20"/>
    </w:rPr>
  </w:style>
  <w:style w:type="paragraph" w:styleId="aa">
    <w:name w:val="header"/>
    <w:uiPriority w:val="99"/>
    <w:basedOn w:val="a"/>
    <w:link w:val="Char1"/>
    <w:unhideWhenUsed/>
    <w:pPr>
      <w:snapToGrid w:val="0"/>
      <w:tabs>
        <w:tab w:val="center" w:pos="4513"/>
        <w:tab w:val="right" w:pos="9026"/>
      </w:tabs>
    </w:pPr>
  </w:style>
  <w:style w:type="character" w:customStyle="1" w:styleId="Char1">
    <w:name w:val="머리글 Char"/>
    <w:uiPriority w:val="99"/>
    <w:basedOn w:val="a0"/>
    <w:link w:val="aa"/>
  </w:style>
  <w:style w:type="paragraph" w:styleId="ab">
    <w:name w:val="footer"/>
    <w:uiPriority w:val="99"/>
    <w:basedOn w:val="a"/>
    <w:link w:val="Char2"/>
    <w:unhideWhenUsed/>
    <w:pPr>
      <w:snapToGrid w:val="0"/>
      <w:tabs>
        <w:tab w:val="center" w:pos="4513"/>
        <w:tab w:val="right" w:pos="9026"/>
      </w:tabs>
    </w:pPr>
  </w:style>
  <w:style w:type="character" w:customStyle="1" w:styleId="Char2">
    <w:name w:val="바닥글 Char"/>
    <w:uiPriority w:val="99"/>
    <w:basedOn w:val="a0"/>
    <w:link w:val="a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header" Target="header1.xml"/><Relationship Id="rId2" Type="http://schemas.openxmlformats.org/officeDocument/2006/relationships/header" Target="header2.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a:solidFill>
            <a:schemeClr val="phClr"/>
          </a:solidFill>
          <a:miter lim="800000"/>
        </a:ln>
        <a:ln w="19050">
          <a:solidFill>
            <a:schemeClr val="phClr"/>
          </a:solidFill>
          <a:miter lim="800000"/>
        </a:ln>
        <a:ln w="2540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입찰공고문 - 2026년 AI 청년창업기업 동반성장 바우처 지원사업</dc:title>
  <dc:subject/>
  <dc:creator>주식회사 낭만상회</dc:creator>
  <cp:keywords/>
  <dc:description/>
  <cp:lastModifiedBy>USER-PC</cp:lastModifiedBy>
  <cp:revision>1</cp:revision>
  <dcterms:created xsi:type="dcterms:W3CDTF">2026-09-21T10:34:00Z</dcterms:created>
  <dcterms:modified xsi:type="dcterms:W3CDTF">2026-09-21T16:09:15Z</dcterms:modified>
  <cp:lastPrinted>2026-09-21T12:13:00Z</cp:lastPrinted>
  <cp:version>1200.0100.01</cp:version>
</cp:coreProperties>
</file>