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120"/>
        <w:rPr>
          <w:rFonts w:ascii="맑은 고딕" w:eastAsia="맑은 고딕" w:hAnsi="맑은 고딕"/>
        </w:rPr>
      </w:pPr>
      <w:r>
        <w:rPr>
          <w:lang w:eastAsia="ko-KR"/>
          <w:rFonts w:ascii="맑은 고딕" w:eastAsia="맑은 고딕" w:hAnsi="맑은 고딕" w:cs="바탕"/>
          <w:b/>
          <w:color w:val="6B7280"/>
        </w:rPr>
        <w:t xml:space="preserve">GAMTANSA </w:t>
      </w:r>
      <w:r>
        <w:rPr>
          <w:rFonts w:ascii="맑은 고딕" w:eastAsia="맑은 고딕" w:hAnsi="맑은 고딕"/>
          <w:b/>
          <w:color w:val="6B7280"/>
        </w:rPr>
        <w:t>PRO</w:t>
      </w:r>
      <w:r>
        <w:rPr>
          <w:rFonts w:ascii="맑은 고딕" w:eastAsia="맑은 고딕" w:hAnsi="맑은 고딕"/>
          <w:b/>
          <w:color w:val="6B7280"/>
        </w:rPr>
        <w:t>DUC</w:t>
      </w:r>
      <w:r>
        <w:rPr>
          <w:rFonts w:ascii="맑은 고딕" w:eastAsia="맑은 고딕" w:hAnsi="맑은 고딕"/>
          <w:b/>
          <w:color w:val="6B7280"/>
        </w:rPr>
        <w:t>T</w:t>
      </w:r>
      <w:r>
        <w:rPr>
          <w:rFonts w:ascii="맑은 고딕" w:eastAsia="맑은 고딕" w:hAnsi="맑은 고딕"/>
          <w:b/>
          <w:color w:val="6B7280"/>
        </w:rPr>
        <w:t>ION</w:t>
      </w:r>
      <w:r>
        <w:rPr>
          <w:rFonts w:ascii="맑은 고딕" w:eastAsia="맑은 고딕" w:hAnsi="맑은 고딕"/>
          <w:b/>
          <w:color w:val="6B7280"/>
        </w:rPr>
        <w:t xml:space="preserve">  /</w:t>
      </w:r>
      <w:r>
        <w:rPr>
          <w:rFonts w:ascii="맑은 고딕" w:eastAsia="맑은 고딕" w:hAnsi="맑은 고딕"/>
          <w:b/>
          <w:color w:val="6B7280"/>
        </w:rPr>
        <w:t xml:space="preserve">  2026</w:t>
      </w:r>
    </w:p>
    <w:p>
      <w:pPr>
        <w:jc w:val="center"/>
        <w:spacing w:after="240" w:line="283" w:lineRule="auto"/>
        <w:rPr>
          <w:lang w:eastAsia="ko-KR"/>
          <w:rFonts w:ascii="맑은 고딕" w:eastAsia="맑은 고딕" w:hAnsi="맑은 고딕" w:hint="eastAsia"/>
        </w:rPr>
      </w:pPr>
    </w:p>
    <w:p>
      <w:pPr>
        <w:jc w:val="center"/>
        <w:spacing w:after="80"/>
        <w:rPr>
          <w:lang w:eastAsia="ko-KR"/>
          <w:rFonts w:ascii="맑은 고딕" w:eastAsia="맑은 고딕" w:hAnsi="맑은 고딕"/>
          <w:b/>
          <w:color w:val="111827"/>
          <w:sz w:val="54"/>
        </w:rPr>
      </w:pPr>
      <w:r>
        <w:rPr>
          <w:rFonts w:ascii="맑은 고딕" w:eastAsia="맑은 고딕" w:hAnsi="맑은 고딕"/>
          <w:b/>
          <w:color w:val="111827"/>
          <w:sz w:val="54"/>
        </w:rPr>
        <w:t>입 찰 공 고 문</w:t>
      </w:r>
    </w:p>
    <w:p>
      <w:pPr>
        <w:jc w:val="center"/>
        <w:spacing w:after="80"/>
        <w:rPr>
          <w:lang w:eastAsia="ko-KR"/>
          <w:rFonts w:ascii="맑은 고딕" w:eastAsia="맑은 고딕" w:hAnsi="맑은 고딕" w:hint="eastAsia"/>
        </w:rPr>
      </w:pPr>
    </w:p>
    <w:p>
      <w:pPr>
        <w:jc w:val="center"/>
        <w:spacing w:after="3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6B7280"/>
        </w:rPr>
        <w:t>STAGE SET PRODUCTION · INSTALLATION · STRIKE</w:t>
      </w:r>
    </w:p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10183"/>
      </w:tblGrid>
      <w:tr>
        <w:tc>
          <w:tcPr>
            <w:tcW w:w="10183" w:type="dxa"/>
            <w:shd w:val="clear" w:color="auto" w:fill="1F2937"/>
            <w:tcMar>
              <w:top w:w="250" w:type="dxa"/>
              <w:left w:w="260" w:type="dxa"/>
              <w:bottom w:w="250" w:type="dxa"/>
              <w:right w:w="260" w:type="dxa"/>
            </w:tcMar>
          </w:tcPr>
          <w:p>
            <w:pPr>
              <w:jc w:val="center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color w:val="FFFFFF"/>
                <w:sz w:val="21"/>
                <w:szCs w:val="24"/>
              </w:rPr>
              <w:t>2026 대형 뮤지컬 시범공연 지원사업</w:t>
            </w:r>
          </w:p>
          <w:p>
            <w:pPr>
              <w:jc w:val="center"/>
              <w:spacing w:after="0" w:before="160"/>
              <w:rPr>
                <w:lang w:eastAsia="ko-KR"/>
                <w:rFonts w:ascii="맑은 고딕" w:eastAsia="맑은 고딕" w:hAnsi="맑은 고딕" w:hint="eastAsia"/>
                <w:b/>
                <w:color w:val="FFFFFF"/>
                <w:sz w:val="56"/>
              </w:rPr>
            </w:pPr>
            <w:r>
              <w:rPr>
                <w:lang w:eastAsia="ko-KR"/>
                <w:rFonts w:ascii="맑은 고딕" w:eastAsia="맑은 고딕" w:hAnsi="맑은 고딕"/>
                <w:b/>
                <w:color w:val="FFFFFF"/>
                <w:sz w:val="56"/>
              </w:rPr>
              <w:t>뮤지컬 &lt;남벌</w:t>
            </w:r>
            <w:r>
              <w:rPr>
                <w:lang w:eastAsia="ko-KR"/>
                <w:rFonts w:ascii="맑은 고딕" w:eastAsia="맑은 고딕" w:hAnsi="맑은 고딕" w:hint="eastAsia"/>
                <w:b/>
                <w:color w:val="FFFFFF"/>
                <w:sz w:val="56"/>
              </w:rPr>
              <w:t>&gt;</w:t>
            </w:r>
          </w:p>
          <w:p>
            <w:pPr>
              <w:jc w:val="center"/>
              <w:spacing w:after="0" w:before="14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color w:val="FFFFFF"/>
                <w:sz w:val="28"/>
              </w:rPr>
              <w:t>무대세트 제작 · 설치 · 철거 용역</w:t>
            </w:r>
          </w:p>
        </w:tc>
      </w:tr>
    </w:tbl>
    <w:p>
      <w:pPr>
        <w:spacing w:after="440" w:line="283" w:lineRule="auto"/>
        <w:rPr>
          <w:lang w:eastAsia="ko-KR"/>
          <w:rFonts w:ascii="맑은 고딕" w:eastAsia="맑은 고딕" w:hAnsi="맑은 고딕"/>
        </w:rPr>
      </w:pP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1814"/>
        <w:gridCol w:w="7880"/>
      </w:tblGrid>
      <w:tr>
        <w:trPr>
          <w:jc w:val="center"/>
        </w:trPr>
        <w:tc>
          <w:tcPr>
            <w:tcW w:w="1814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계약방식</w:t>
            </w:r>
          </w:p>
        </w:tc>
        <w:tc>
          <w:tcPr>
            <w:tcW w:w="788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4"/>
              </w:rPr>
              <w:t>일반경쟁(총액) · 전자입찰 · 협상에 의한 계약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공고구분</w:t>
            </w:r>
          </w:p>
        </w:tc>
        <w:tc>
          <w:tcPr>
            <w:tcW w:w="788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b/>
                <w:bCs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b/>
                <w:bCs/>
                <w:color w:val="EE0000"/>
                <w:sz w:val="20"/>
                <w:szCs w:val="24"/>
              </w:rPr>
              <w:t>긴급입찰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사업금액</w:t>
            </w:r>
          </w:p>
        </w:tc>
        <w:tc>
          <w:tcPr>
            <w:tcW w:w="788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4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 xml:space="preserve">금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4"/>
              </w:rPr>
              <w:t>220</w:t>
            </w: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,000,000원 (</w:t>
            </w: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부가가치세</w:t>
            </w: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포함</w:t>
            </w:r>
            <w:r>
              <w:rPr>
                <w:rFonts w:ascii="맑은 고딕" w:eastAsia="맑은 고딕" w:hAnsi="맑은 고딕"/>
                <w:color w:val="111827"/>
                <w:sz w:val="20"/>
                <w:szCs w:val="24"/>
              </w:rPr>
              <w:t>)</w:t>
            </w:r>
          </w:p>
        </w:tc>
      </w:tr>
    </w:tbl>
    <w:p>
      <w:pPr>
        <w:spacing w:after="360" w:line="283" w:lineRule="auto"/>
        <w:rPr>
          <w:lang w:eastAsia="ko-KR"/>
          <w:rFonts w:ascii="맑은 고딕" w:eastAsia="맑은 고딕" w:hAnsi="맑은 고딕"/>
        </w:rPr>
      </w:pPr>
    </w:p>
    <w:p>
      <w:pPr>
        <w:spacing w:after="360" w:line="283" w:lineRule="auto"/>
        <w:rPr>
          <w:lang w:eastAsia="ko-KR"/>
          <w:rFonts w:ascii="맑은 고딕" w:eastAsia="맑은 고딕" w:hAnsi="맑은 고딕" w:hint="eastAsia"/>
        </w:rPr>
      </w:pPr>
    </w:p>
    <w:p>
      <w:pPr>
        <w:jc w:val="center"/>
        <w:spacing w:after="4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111827"/>
          <w:sz w:val="22"/>
        </w:rPr>
        <w:t xml:space="preserve">2026. </w:t>
      </w:r>
      <w:r>
        <w:rPr>
          <w:lang w:eastAsia="ko-KR"/>
          <w:rFonts w:ascii="맑은 고딕" w:eastAsia="맑은 고딕" w:hAnsi="맑은 고딕"/>
          <w:b/>
          <w:color w:val="111827"/>
          <w:sz w:val="22"/>
          <w:rtl w:val="off"/>
        </w:rPr>
        <w:t>10</w:t>
      </w:r>
      <w:r>
        <w:rPr>
          <w:rFonts w:ascii="맑은 고딕" w:eastAsia="맑은 고딕" w:hAnsi="맑은 고딕"/>
          <w:b/>
          <w:color w:val="111827"/>
          <w:sz w:val="22"/>
        </w:rPr>
        <w:t>.</w:t>
      </w:r>
    </w:p>
    <w:p>
      <w:pPr>
        <w:jc w:val="center"/>
        <w:rPr>
          <w:lang w:eastAsia="ko-KR"/>
          <w:rFonts w:ascii="맑은 고딕" w:eastAsia="맑은 고딕" w:hAnsi="맑은 고딕" w:hint="eastAsia"/>
          <w:b/>
          <w:color w:val="111827"/>
          <w:sz w:val="28"/>
        </w:rPr>
      </w:pPr>
      <w:r>
        <w:rPr>
          <w:rFonts w:ascii="맑은 고딕" w:eastAsia="맑은 고딕" w:hAnsi="맑은 고딕"/>
          <w:b/>
          <w:color w:val="111827"/>
          <w:sz w:val="28"/>
        </w:rPr>
        <w:t>주식회사</w:t>
      </w:r>
      <w:r>
        <w:rPr>
          <w:rFonts w:ascii="맑은 고딕" w:eastAsia="맑은 고딕" w:hAnsi="맑은 고딕"/>
          <w:b/>
          <w:color w:val="111827"/>
          <w:sz w:val="28"/>
        </w:rPr>
        <w:t xml:space="preserve"> </w:t>
      </w:r>
      <w:r>
        <w:rPr>
          <w:rFonts w:ascii="맑은 고딕" w:eastAsia="맑은 고딕" w:hAnsi="맑은 고딕"/>
          <w:b/>
          <w:color w:val="111827"/>
          <w:sz w:val="28"/>
        </w:rPr>
        <w:t>감탄사</w:t>
      </w:r>
    </w:p>
    <w:p>
      <w:pPr>
        <w:spacing w:after="60" w:before="48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6B7280"/>
          <w:sz w:val="16"/>
        </w:rPr>
        <w:t>CONTACT</w:t>
      </w:r>
    </w:p>
    <w:tbl>
      <w:tblPr>
        <w:tblW w:w="9694" w:type="dxa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1814"/>
        <w:gridCol w:w="7880"/>
      </w:tblGrid>
      <w:tr>
        <w:trPr>
          <w:jc w:val="center"/>
        </w:trPr>
        <w:tc>
          <w:tcPr>
            <w:tcW w:w="1814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기술·과업</w:t>
            </w:r>
          </w:p>
        </w:tc>
        <w:tc>
          <w:tcPr>
            <w:tcW w:w="788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박현경  |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 010-3788-8437</w:t>
            </w:r>
          </w:p>
        </w:tc>
      </w:tr>
      <w:tr>
        <w:trPr>
          <w:jc w:val="center"/>
        </w:trPr>
        <w:tc>
          <w:tcPr>
            <w:tcW w:w="1814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입찰·계약</w:t>
            </w:r>
          </w:p>
        </w:tc>
        <w:tc>
          <w:tcPr>
            <w:tcW w:w="788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이솔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 |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010-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8"/>
              </w:rPr>
              <w:t>7760-0635</w:t>
            </w:r>
          </w:p>
        </w:tc>
      </w:tr>
    </w:tbl>
    <w:p>
      <w:pPr>
        <w:rPr>
          <w:lang/>
          <w:rFonts w:ascii="맑은 고딕" w:eastAsia="맑은 고딕" w:hAnsi="맑은 고딕"/>
          <w:rtl w:val="off"/>
        </w:rPr>
      </w:pPr>
    </w:p>
    <w:p>
      <w:pPr>
        <w:rPr>
          <w:rFonts w:ascii="맑은 고딕" w:eastAsia="맑은 고딕" w:hAnsi="맑은 고딕"/>
        </w:rPr>
      </w:pPr>
    </w:p>
    <w:tbl>
      <w:tblPr>
        <w:tblW w:w="9752" w:type="dxa"/>
        <w:tblInd w:w="28" w:type="dxa"/>
        <w:tblLook w:val="04A0" w:firstRow="1" w:lastRow="0" w:firstColumn="1" w:lastColumn="0" w:noHBand="0" w:noVBand="1"/>
        <w:tblLayout w:type="fixed"/>
      </w:tblPr>
      <w:tblGrid>
        <w:gridCol w:w="4876"/>
        <w:gridCol w:w="4876"/>
      </w:tblGrid>
      <w:tr>
        <w:tc>
          <w:tcPr>
            <w:tcW w:w="4876" w:type="dxa"/>
            <w:shd w:val="clear" w:color="auto" w:fill="1F2937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36"/>
                <w:szCs w:val="36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36"/>
                <w:szCs w:val="36"/>
              </w:rPr>
              <w:t>01</w:t>
            </w:r>
          </w:p>
        </w:tc>
        <w:tc>
          <w:tcPr>
            <w:tcW w:w="4876" w:type="dxa"/>
            <w:shd w:val="clear" w:color="auto" w:fill="FFFFFF"/>
            <w:tcMar>
              <w:top w:w="90" w:type="dxa"/>
              <w:left w:w="140" w:type="dxa"/>
              <w:bottom w:w="90" w:type="dxa"/>
              <w:right w:w="80" w:type="dxa"/>
            </w:tcMar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color w:val="6B7280"/>
                <w:sz w:val="16"/>
              </w:rPr>
            </w:pPr>
            <w:r>
              <w:rPr>
                <w:lang w:eastAsia="ko-KR"/>
                <w:rFonts w:ascii="맑은 고딕" w:eastAsia="맑은 고딕" w:hAnsi="맑은 고딕"/>
                <w:b/>
                <w:color w:val="111827"/>
                <w:sz w:val="30"/>
              </w:rPr>
              <w:t>사업 및 입찰 개요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16"/>
              </w:rPr>
              <w:t xml:space="preserve">  </w:t>
            </w:r>
          </w:p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8"/>
              </w:rPr>
              <w:t xml:space="preserve">BID 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8"/>
              </w:rPr>
              <w:t>OVERVIEW</w:t>
            </w:r>
          </w:p>
        </w:tc>
      </w:tr>
    </w:tbl>
    <w:p>
      <w:pPr>
        <w:spacing w:after="60" w:line="283" w:lineRule="auto"/>
        <w:rPr>
          <w:lang w:eastAsia="ko-KR"/>
          <w:rFonts w:ascii="맑은 고딕" w:eastAsia="맑은 고딕" w:hAnsi="맑은 고딕"/>
        </w:rPr>
      </w:pPr>
    </w:p>
    <w:p>
      <w:pPr>
        <w:spacing w:after="160" w:line="283" w:lineRule="auto"/>
        <w:rPr>
          <w:lang w:eastAsia="ko-KR"/>
          <w:rFonts w:ascii="맑은 고딕" w:eastAsia="맑은 고딕" w:hAnsi="맑은 고딕" w:hint="eastAsia"/>
          <w:sz w:val="20"/>
          <w:szCs w:val="24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4"/>
        </w:rPr>
        <w:t>본 공고는 뮤지컬 &lt;남벌&gt;의 무대세트 제작부터 공연장 설치, 공연기간 중 유지관리 및 철거·반출까지 일괄 수행할 사업자를 선정하기 위한 것입니다.</w:t>
      </w:r>
      <w:r>
        <w:rPr>
          <w:lang w:eastAsia="ko-KR"/>
          <w:rFonts w:ascii="맑은 고딕" w:eastAsia="맑은 고딕" w:hAnsi="맑은 고딕" w:hint="eastAsia"/>
          <w:color w:val="111827"/>
          <w:sz w:val="20"/>
          <w:szCs w:val="24"/>
        </w:rPr>
        <w:t xml:space="preserve"> </w:t>
      </w:r>
      <w:r>
        <w:rPr>
          <w:lang w:eastAsia="ko-KR"/>
          <w:rFonts w:ascii="맑은 고딕" w:eastAsia="맑은 고딕" w:hAnsi="맑은 고딕"/>
          <w:color w:val="111827"/>
          <w:sz w:val="20"/>
          <w:szCs w:val="24"/>
        </w:rPr>
        <w:t xml:space="preserve">본 입찰에 참가하려는 자는 본 입찰공고서, 과업지시서, 장비목록 및 규격서, </w:t>
      </w:r>
      <w:r>
        <w:rPr>
          <w:lang w:eastAsia="ko-KR"/>
          <w:rFonts w:ascii="맑은 고딕" w:eastAsia="맑은 고딕" w:hAnsi="맑은 고딕"/>
          <w:color w:val="111827"/>
          <w:sz w:val="20"/>
          <w:szCs w:val="24"/>
        </w:rPr>
        <w:t>국가종합전자조달시스템</w:t>
      </w:r>
      <w:r>
        <w:rPr>
          <w:lang w:eastAsia="ko-KR"/>
          <w:rFonts w:ascii="맑은 고딕" w:eastAsia="맑은 고딕" w:hAnsi="맑은 고딕"/>
          <w:color w:val="111827"/>
          <w:sz w:val="20"/>
          <w:szCs w:val="24"/>
        </w:rPr>
        <w:t xml:space="preserve"> 전자입찰 관련 규정, 정부 입찰·계약 집행기준, 용역입찰유의서 및 용역계약 일반조건, 「(계약예규) 협상에 의한 계약체결기준」 등 관련 규정을 충분히 열람·숙지한 후 입찰에 참가하여야 하며, 미숙지에 따른 책임은 입찰자에게 있습니다.</w:t>
      </w:r>
    </w:p>
    <w:tbl>
      <w:tblPr>
        <w:tblW w:w="10057" w:type="dxa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814"/>
        <w:gridCol w:w="2366"/>
        <w:gridCol w:w="6876"/>
      </w:tblGrid>
      <w:tr>
        <w:trPr>
          <w:jc w:val="center"/>
          <w:trHeight w:val="265" w:hRule="atLeast"/>
        </w:trPr>
        <w:tc>
          <w:tcPr>
            <w:tcW w:w="814" w:type="dxa"/>
            <w:shd w:val="clear" w:color="auto" w:fill="1F2937"/>
            <w:vAlign w:val="center"/>
          </w:tcPr>
          <w:p>
            <w:pPr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b/>
                <w:color w:val="FFFFFF"/>
                <w:szCs w:val="18"/>
              </w:rPr>
            </w:pPr>
            <w:r>
              <w:rPr>
                <w:lang w:eastAsia="ko-KR"/>
                <w:rFonts w:ascii="맑은 고딕" w:eastAsia="맑은 고딕" w:hAnsi="맑은 고딕" w:hint="eastAsia"/>
                <w:b/>
                <w:color w:val="FFFFFF"/>
                <w:szCs w:val="18"/>
              </w:rPr>
              <w:t>구분</w:t>
            </w:r>
          </w:p>
        </w:tc>
        <w:tc>
          <w:tcPr>
            <w:tcW w:w="2366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FFFFFF"/>
                <w:szCs w:val="18"/>
              </w:rPr>
              <w:t>항목</w:t>
            </w:r>
          </w:p>
        </w:tc>
        <w:tc>
          <w:tcPr>
            <w:tcW w:w="6876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FFFFFF"/>
                <w:szCs w:val="18"/>
              </w:rPr>
              <w:t>내용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1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공고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명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Cs w:val="18"/>
              </w:rPr>
              <w:t xml:space="preserve">2026 </w:t>
            </w: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Cs w:val="18"/>
              </w:rPr>
              <w:t>대형</w:t>
            </w:r>
            <w:r>
              <w:rPr>
                <w:lang w:eastAsia="ko-KR"/>
                <w:rFonts w:ascii="맑은 고딕" w:eastAsia="맑은 고딕" w:hAnsi="맑은 고딕"/>
                <w:color w:val="111827"/>
                <w:szCs w:val="18"/>
              </w:rPr>
              <w:t xml:space="preserve"> 뮤지컬 시범공연 지원사업 뮤지컬 &lt;남벌&gt; 무대세트 제작·설치 및 철거 용역</w:t>
            </w:r>
            <w:r>
              <w:rPr>
                <w:lang w:eastAsia="ko-KR"/>
                <w:rFonts w:ascii="맑은 고딕" w:eastAsia="맑은 고딕" w:hAnsi="맑은 고딕"/>
                <w:color w:val="111827"/>
                <w:szCs w:val="18"/>
                <w:rtl w:val="off"/>
              </w:rPr>
              <w:t xml:space="preserve"> (재공고)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2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color w:val="111827"/>
                <w:sz w:val="20"/>
                <w:szCs w:val="20"/>
              </w:rPr>
            </w:pPr>
            <w:r>
              <w:rPr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계약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및 </w:t>
            </w:r>
          </w:p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 xml:space="preserve">낙찰자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선정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일반경쟁(총액) / 전자입찰 / 협상에 의한 계약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br/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기술능력 80점 + 입찰가격 20점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3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수행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형태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단독수행 (공동계약 불가)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4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과업</w:t>
            </w: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바탕" w:hint="eastAsia"/>
                <w:color w:val="111827"/>
                <w:sz w:val="20"/>
                <w:szCs w:val="20"/>
              </w:rPr>
              <w:t>기간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4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계약체결일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~ 2026. 11.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15.(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일)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예정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5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공연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 xml:space="preserve"> 운영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기간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2026. 10. 23.(금) ~ 2026. 11.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14.(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토)</w:t>
            </w:r>
          </w:p>
        </w:tc>
      </w:tr>
      <w:tr>
        <w:trPr>
          <w:trHeight w:val="51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6</w:t>
            </w:r>
          </w:p>
        </w:tc>
        <w:tc>
          <w:tcPr>
            <w:tcW w:w="2366" w:type="dxa"/>
            <w:shd w:val="clear" w:color="auto" w:fill="F3F4F6"/>
            <w:vAlign w:val="center"/>
          </w:tcPr>
          <w:p>
            <w:pPr>
              <w:ind w:rightChars="-91" w:right="-164"/>
              <w:jc w:val="left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0"/>
                <w:rtl w:val="off"/>
              </w:rPr>
              <w:t>셋업</w:t>
            </w:r>
            <w:r>
              <w:rPr>
                <w:lang w:eastAsia="ko-KR"/>
                <w:rFonts w:ascii="맑은 고딕" w:eastAsia="맑은 고딕" w:hAnsi="맑은 고딕" w:hint="eastAsia"/>
                <w:sz w:val="20"/>
                <w:szCs w:val="20"/>
                <w:rtl w:val="off"/>
              </w:rPr>
              <w:br/>
            </w:r>
            <w:r>
              <w:rPr>
                <w:lang w:eastAsia="ko-KR"/>
                <w:rFonts w:ascii="맑은 고딕" w:eastAsia="맑은 고딕" w:hAnsi="맑은 고딕"/>
                <w:sz w:val="20"/>
                <w:szCs w:val="20"/>
                <w:rtl w:val="off"/>
              </w:rPr>
              <w:t>(반입, 설치, 점검, 보완)</w:t>
            </w:r>
          </w:p>
        </w:tc>
        <w:tc>
          <w:tcPr>
            <w:tcW w:w="6876" w:type="dxa"/>
            <w:vAlign w:val="center"/>
          </w:tcPr>
          <w:p>
            <w:pPr>
              <w:jc w:val="left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0"/>
                <w:rtl w:val="off"/>
              </w:rPr>
              <w:t>2026. 10. 13.(화) ~ 2026. 10. 22(목)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7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철거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 xml:space="preserve"> /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반출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2026. 11. 15.(일)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8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수행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장소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티켓링크1975씨어터 및 발주자가 지정하는 제작·보관·운송 장소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9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공동계약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불가</w:t>
            </w:r>
            <w:r>
              <w:rPr>
                <w:lang w:eastAsia="ko-KR"/>
                <w:rFonts w:ascii="맑은 고딕" w:eastAsia="맑은 고딕" w:hAnsi="맑은 고딕"/>
                <w:sz w:val="20"/>
                <w:szCs w:val="20"/>
              </w:rPr>
              <w:t xml:space="preserve"> 제작·설치·철거 및 안전책임의 일원화를 위해 단독수행)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10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사업금액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금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220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,000,000원 (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부가가치세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포함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)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11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금액구성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추정가격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20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0,000,000원 + 부가가치세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20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,000,000원</w:t>
            </w:r>
          </w:p>
        </w:tc>
      </w:tr>
      <w:tr>
        <w:trPr>
          <w:jc w:val="center"/>
          <w:trHeight w:val="370" w:hRule="atLeast"/>
        </w:trPr>
        <w:tc>
          <w:tcPr>
            <w:tcW w:w="814" w:type="dxa"/>
            <w:shd w:val="clear" w:color="auto" w:fill="F3F4F6"/>
            <w:vAlign w:val="center"/>
          </w:tcPr>
          <w:p>
            <w:pPr>
              <w:ind w:rightChars="-91" w:right="-164"/>
              <w:jc w:val="center"/>
              <w:spacing w:after="0" w:line="252" w:lineRule="auto"/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1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  <w:rtl w:val="off"/>
              </w:rPr>
              <w:t>2</w:t>
            </w:r>
          </w:p>
        </w:tc>
        <w:tc>
          <w:tcPr>
            <w:tcW w:w="2366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ind w:rightChars="-91" w:right="-164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예정가격</w:t>
            </w:r>
          </w:p>
        </w:tc>
        <w:tc>
          <w:tcPr>
            <w:tcW w:w="687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 w:hint="eastAsia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비예가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 xml:space="preserve"> 방식</w:t>
            </w:r>
          </w:p>
        </w:tc>
      </w:tr>
    </w:tbl>
    <w:p>
      <w:pPr>
        <w:spacing w:after="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b/>
          <w:color w:val="111827"/>
          <w:sz w:val="20"/>
          <w:szCs w:val="20"/>
        </w:rPr>
        <w:t>과업 범위</w:t>
      </w:r>
    </w:p>
    <w:p>
      <w:pPr>
        <w:ind w:left="170" w:hanging="170"/>
        <w:spacing w:after="0"/>
        <w:rPr>
          <w:lang w:eastAsia="ko-KR"/>
          <w:rFonts w:ascii="맑은 고딕" w:eastAsia="맑은 고딕" w:hAnsi="맑은 고딕" w:hint="eastAsia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• 발주자가 제공하는 무대디자인·제작도면·과업지시서를 바탕으로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제작에 필요한 세부 제작도 작성 및 제작계획 수립</w:t>
      </w:r>
    </w:p>
    <w:p>
      <w:pPr>
        <w:ind w:left="170" w:hanging="170"/>
        <w:spacing w:after="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• 무대세트 및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대도구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제작, 운송·하역·반입, 조립·설치, 시운전 및 조정</w:t>
      </w:r>
    </w:p>
    <w:p>
      <w:pPr>
        <w:ind w:left="170" w:hanging="170"/>
        <w:spacing w:after="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공연기간 중 유지관리와 긴급 보수, 공연 종료 후 철거·반출 및 지정장소 정리</w:t>
      </w:r>
    </w:p>
    <w:tbl>
      <w:tblPr>
        <w:tblW w:w="0" w:type="auto"/>
        <w:tblLook w:val="04A0" w:firstRow="1" w:lastRow="0" w:firstColumn="1" w:lastColumn="0" w:noHBand="0" w:noVBand="1"/>
        <w:jc w:val="center"/>
      </w:tblPr>
      <w:tblGrid>
        <w:gridCol w:w="9752"/>
      </w:tblGrid>
      <w:tr>
        <w:trPr>
          <w:jc w:val="center"/>
        </w:trPr>
        <w:tc>
          <w:tcPr>
            <w:tcW w:w="9752" w:type="dxa"/>
            <w:shd w:val="clear" w:color="auto" w:fill="F3F4F6"/>
            <w:tcMar>
              <w:top w:w="110" w:type="dxa"/>
              <w:left w:w="160" w:type="dxa"/>
              <w:bottom w:w="110" w:type="dxa"/>
              <w:right w:w="160" w:type="dxa"/>
            </w:tcMar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color w:val="6B7280"/>
                <w:szCs w:val="24"/>
              </w:rPr>
              <w:t xml:space="preserve">※ 입찰금액에는 </w:t>
            </w:r>
            <w:r>
              <w:rPr>
                <w:lang w:eastAsia="ko-KR"/>
                <w:rFonts w:ascii="맑은 고딕" w:eastAsia="맑은 고딕" w:hAnsi="맑은 고딕"/>
                <w:color w:val="6B7280"/>
                <w:szCs w:val="24"/>
              </w:rPr>
              <w:t>자재비</w:t>
            </w:r>
            <w:r>
              <w:rPr>
                <w:lang w:eastAsia="ko-KR"/>
                <w:rFonts w:ascii="맑은 고딕" w:eastAsia="맑은 고딕" w:hAnsi="맑은 고딕"/>
                <w:color w:val="6B7280"/>
                <w:szCs w:val="24"/>
              </w:rPr>
              <w:t>, 제작인력, 방염, 운송·하역, 설치·철거, 유지보수, 장비·공구·소모품, 안전관리 등 과업 수행에 필요한 제반 비용과 부가가치세를 모두 포함하여야 합니다.</w:t>
            </w:r>
          </w:p>
        </w:tc>
      </w:tr>
    </w:tbl>
    <w:tbl>
      <w:tblPr>
        <w:tblW w:w="9752" w:type="dxa"/>
        <w:tblLook w:val="04A0" w:firstRow="1" w:lastRow="0" w:firstColumn="1" w:lastColumn="0" w:noHBand="0" w:noVBand="1"/>
        <w:tblLayout w:type="fixed"/>
      </w:tblPr>
      <w:tblGrid>
        <w:gridCol w:w="4876"/>
        <w:gridCol w:w="4876"/>
      </w:tblGrid>
      <w:tr>
        <w:trPr>
          <w:trHeight w:val="761" w:hRule="atLeast"/>
        </w:trPr>
        <w:tc>
          <w:tcPr>
            <w:tcW w:w="4876" w:type="dxa"/>
            <w:shd w:val="clear" w:color="auto" w:fill="1F2937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36"/>
                <w:szCs w:val="36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36"/>
                <w:szCs w:val="36"/>
              </w:rPr>
              <w:t>02</w:t>
            </w:r>
          </w:p>
        </w:tc>
        <w:tc>
          <w:tcPr>
            <w:tcW w:w="4876" w:type="dxa"/>
            <w:shd w:val="clear" w:color="auto" w:fill="FFFFFF"/>
            <w:tcMar>
              <w:top w:w="90" w:type="dxa"/>
              <w:left w:w="140" w:type="dxa"/>
              <w:bottom w:w="90" w:type="dxa"/>
              <w:right w:w="80" w:type="dxa"/>
            </w:tcMar>
          </w:tcPr>
          <w:p>
            <w:pPr>
              <w:spacing w:after="0"/>
              <w:rPr>
                <w:rFonts w:ascii="맑은 고딕" w:eastAsia="맑은 고딕" w:hAnsi="맑은 고딕"/>
                <w:color w:val="6B7280"/>
                <w:sz w:val="16"/>
              </w:rPr>
            </w:pP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>진행일정</w:t>
            </w: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 xml:space="preserve"> 및 </w:t>
            </w: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>제출절차</w:t>
            </w:r>
            <w:r>
              <w:rPr>
                <w:rFonts w:ascii="맑은 고딕" w:eastAsia="맑은 고딕" w:hAnsi="맑은 고딕"/>
                <w:color w:val="6B7280"/>
                <w:sz w:val="16"/>
              </w:rPr>
              <w:t xml:space="preserve"> </w:t>
            </w:r>
          </w:p>
          <w:p>
            <w:pPr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color w:val="6B7280"/>
                <w:sz w:val="20"/>
                <w:szCs w:val="28"/>
              </w:rPr>
              <w:t xml:space="preserve"> SCHEDULE &amp; SUBMISSION</w:t>
            </w:r>
          </w:p>
        </w:tc>
      </w:tr>
    </w:tbl>
    <w:p>
      <w:pPr>
        <w:spacing w:after="60" w:line="283" w:lineRule="auto"/>
        <w:rPr>
          <w:rFonts w:ascii="맑은 고딕" w:eastAsia="맑은 고딕" w:hAnsi="맑은 고딕"/>
        </w:rPr>
      </w:pP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1871"/>
        <w:gridCol w:w="3791"/>
        <w:gridCol w:w="4033"/>
      </w:tblGrid>
      <w:tr>
        <w:trPr>
          <w:jc w:val="center"/>
          <w:trHeight w:val="82" w:hRule="atLeast"/>
        </w:trPr>
        <w:tc>
          <w:tcPr>
            <w:tcW w:w="1871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8"/>
              </w:rPr>
              <w:t>절차</w:t>
            </w:r>
          </w:p>
        </w:tc>
        <w:tc>
          <w:tcPr>
            <w:tcW w:w="3791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8"/>
              </w:rPr>
              <w:t>일정</w:t>
            </w:r>
          </w:p>
        </w:tc>
        <w:tc>
          <w:tcPr>
            <w:tcW w:w="4033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8"/>
              </w:rPr>
              <w:t>제출·진행 방식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공고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게시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2026. 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  <w:rtl w:val="off"/>
              </w:rPr>
              <w:t>10. 02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나라장터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가격입찰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8"/>
                <w:rtl w:val="off"/>
              </w:rPr>
              <w:t>10. 02 ~ 10. 13 14:00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나라장터 전자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투찰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 w:cs="바탕" w:hint="eastAsia"/>
                <w:color w:val="111827"/>
                <w:sz w:val="20"/>
                <w:szCs w:val="28"/>
              </w:rPr>
              <w:t>기술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제안서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제출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8"/>
                <w:rtl w:val="off"/>
              </w:rPr>
              <w:t>10. 02 ~ 10. 13 14:00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나라장터 / e-발주시스템 온라인 제출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참가자격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등록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입찰서 제출마감일 전까지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나라장터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등록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완료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기술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8"/>
              </w:rPr>
              <w:t xml:space="preserve">능력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평가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sz w:val="20"/>
                <w:szCs w:val="28"/>
                <w:rtl w:val="off"/>
              </w:rPr>
              <w:t>10. 13 14:00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발주자 지정 장소 / 서면평가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가격개찰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기술평가 종료 후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나라장터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협상 진행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기술·가격평가 완료 후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8"/>
              </w:rPr>
              <w:t>협상순위에 따라 개별 통보</w:t>
            </w:r>
          </w:p>
        </w:tc>
      </w:tr>
      <w:tr>
        <w:trPr>
          <w:jc w:val="center"/>
          <w:trHeight w:val="340" w:hRule="atLeast"/>
        </w:trPr>
        <w:tc>
          <w:tcPr>
            <w:tcW w:w="187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전자계약</w:t>
            </w:r>
          </w:p>
        </w:tc>
        <w:tc>
          <w:tcPr>
            <w:tcW w:w="379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 w:hint="eastAsia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협상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성립</w:t>
            </w: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 xml:space="preserve"> 후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8"/>
              </w:rPr>
              <w:t xml:space="preserve"> 즉시 체결</w:t>
            </w:r>
          </w:p>
        </w:tc>
        <w:tc>
          <w:tcPr>
            <w:tcW w:w="403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8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8"/>
              </w:rPr>
              <w:t>나라장터</w:t>
            </w:r>
          </w:p>
        </w:tc>
      </w:tr>
    </w:tbl>
    <w:p>
      <w:pPr>
        <w:spacing w:after="120" w:line="283" w:lineRule="auto"/>
        <w:rPr>
          <w:rFonts w:ascii="맑은 고딕" w:eastAsia="맑은 고딕" w:hAnsi="맑은 고딕"/>
          <w:sz w:val="13"/>
          <w:szCs w:val="13"/>
        </w:rPr>
      </w:pPr>
    </w:p>
    <w:p>
      <w:pPr>
        <w:spacing w:after="80" w:line="283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b/>
          <w:color w:val="111827"/>
          <w:sz w:val="20"/>
          <w:szCs w:val="20"/>
        </w:rPr>
        <w:t>제출자료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기술제안서 1부 — 첨부 서식을 기본 틀로 작성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사업비 세부 산출내역서 1부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사업자등록증 1부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 w:hint="eastAsia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</w:t>
      </w: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 xml:space="preserve"> </w:t>
      </w: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 xml:space="preserve">제작설비 및 </w:t>
      </w:r>
      <w:r>
        <w:rPr>
          <w:lang w:eastAsia="ko-KR"/>
          <w:rFonts w:ascii="맑은 고딕" w:eastAsia="맑은 고딕" w:hAnsi="맑은 고딕"/>
          <w:sz w:val="20"/>
          <w:szCs w:val="20"/>
        </w:rPr>
        <w:t>CNC 장비 보유 증빙자료(</w:t>
      </w:r>
      <w:r>
        <w:rPr>
          <w:lang w:eastAsia="ko-KR"/>
          <w:rFonts w:ascii="맑은 고딕" w:eastAsia="맑은 고딕" w:hAnsi="맑은 고딕"/>
          <w:sz w:val="20"/>
          <w:szCs w:val="20"/>
        </w:rPr>
        <w:t>장비명</w:t>
      </w:r>
      <w:r>
        <w:rPr>
          <w:lang w:eastAsia="ko-KR"/>
          <w:rFonts w:ascii="맑은 고딕" w:eastAsia="맑은 고딕" w:hAnsi="맑은 고딕"/>
          <w:sz w:val="20"/>
          <w:szCs w:val="20"/>
        </w:rPr>
        <w:t>, 규격, 보유현황 및 사진 등)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제안내용의 사실관계를 확인할 수 있는 기타 증빙자료</w:t>
      </w:r>
    </w:p>
    <w:tbl>
      <w:tblPr>
        <w:tblW w:w="0" w:type="auto"/>
        <w:tblLook w:val="04A0" w:firstRow="1" w:lastRow="0" w:firstColumn="1" w:lastColumn="0" w:noHBand="0" w:noVBand="1"/>
        <w:jc w:val="center"/>
      </w:tblPr>
      <w:tblGrid>
        <w:gridCol w:w="9752"/>
      </w:tblGrid>
      <w:tr>
        <w:trPr>
          <w:jc w:val="center"/>
        </w:trPr>
        <w:tc>
          <w:tcPr>
            <w:tcW w:w="9752" w:type="dxa"/>
            <w:shd w:val="clear" w:color="auto" w:fill="F3F4F6"/>
            <w:tcMar>
              <w:top w:w="110" w:type="dxa"/>
              <w:left w:w="160" w:type="dxa"/>
              <w:bottom w:w="110" w:type="dxa"/>
              <w:right w:w="160" w:type="dxa"/>
            </w:tcMar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6B7280"/>
                <w:szCs w:val="18"/>
              </w:rPr>
              <w:t>※ 가격입찰과 제안서 제출을 모두 마쳐야 유효한 입찰로 인정됩니다. 기술제안서 본문에는 입찰가격, 단가, 금전적 혜택 또는 무상제공 조건을 기재하지 않으며, 가격은 나라장터 전자입찰서로 별도 제출합니다.</w:t>
            </w:r>
          </w:p>
        </w:tc>
      </w:tr>
    </w:tbl>
    <w:p>
      <w:pPr>
        <w:spacing w:after="80" w:before="12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b/>
          <w:color w:val="111827"/>
          <w:sz w:val="20"/>
          <w:szCs w:val="20"/>
        </w:rPr>
        <w:t>입찰 참가요건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1. 「국가를 당사자로 하는 계약에 관한 법률 시행령」 제12조 및 같은 법 시행규칙 제14조에 따른 경쟁입찰 참가자격을 갖추고 관련 법령상 참가자격 제한을 받지 않는 자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2. 입찰서 및 제안서 제출마감일 전일까지 나라장터 경쟁입찰 참가자격 등록을 완료한 자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 w:hint="eastAsia"/>
          <w:sz w:val="20"/>
          <w:szCs w:val="20"/>
        </w:rPr>
      </w:pP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 xml:space="preserve">3. 최근 5년 이내 1,000석 이상 공연장에서 공연된 뮤지컬 공연의 무대세트 제작, 설치, 실적을 </w:t>
      </w: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보유한 자로서 관련제작 수행실적이 누적 20편 이상인자.(증빙 자료 제출)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4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. 사업자등록증상 무대장치·무대세트·공연장치·전시·공연 구조물 제작·설치 또는 이에 준하는 업종을 영위하며 본 과업을 직접 수행할 수 있는 자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5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. 목공·철공·작화·조각·재봉·구조물 제작과 현장 설치·철거를 통합 수행할 수 있는 자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6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. 공연장 안전수칙, 방염 및 산업안전보건 관계 법령을 준수하고 필요한 전문인력과 장비를 확보할 수 있는 자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7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. 공동수급 또는 하도급을 전제로 하지 않고 핵심 업무를 직접 수행할 수 있는 자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8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. </w:t>
      </w: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 xml:space="preserve">무대세트 제작에 필요한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CNC </w:t>
      </w:r>
      <w:r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  <w:t>가공장비를 자체 보유하고 직접 운용할 수 있는 자.</w:t>
      </w:r>
    </w:p>
    <w:p>
      <w:pPr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</w:p>
    <w:p>
      <w:pPr>
        <w:ind w:left="170" w:hanging="170"/>
        <w:spacing w:after="60"/>
        <w:rPr>
          <w:lang w:eastAsia="ko-KR"/>
          <w:rFonts w:ascii="맑은 고딕" w:eastAsia="맑은 고딕" w:hAnsi="맑은 고딕" w:hint="eastAsia"/>
          <w:color w:val="111827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4876"/>
        <w:gridCol w:w="4876"/>
      </w:tblGrid>
      <w:tr>
        <w:tc>
          <w:tcPr>
            <w:tcW w:w="4876" w:type="dxa"/>
            <w:shd w:val="clear" w:color="auto" w:fill="1F2937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36"/>
                <w:szCs w:val="36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36"/>
                <w:szCs w:val="36"/>
              </w:rPr>
              <w:t>03</w:t>
            </w:r>
          </w:p>
        </w:tc>
        <w:tc>
          <w:tcPr>
            <w:tcW w:w="4876" w:type="dxa"/>
            <w:shd w:val="clear" w:color="auto" w:fill="FFFFFF"/>
            <w:tcMar>
              <w:top w:w="90" w:type="dxa"/>
              <w:left w:w="140" w:type="dxa"/>
              <w:bottom w:w="90" w:type="dxa"/>
              <w:right w:w="80" w:type="dxa"/>
            </w:tcMar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</w:rPr>
            </w:pPr>
            <w:r>
              <w:rPr>
                <w:lang w:eastAsia="ko-KR"/>
                <w:rFonts w:ascii="맑은 고딕" w:eastAsia="맑은 고딕" w:hAnsi="맑은 고딕"/>
                <w:b/>
                <w:color w:val="111827"/>
                <w:sz w:val="30"/>
              </w:rPr>
              <w:t>제안서 평가 및 협상대상자 선정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16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8"/>
              </w:rPr>
              <w:t>PROPOSAL EVALUATION &amp; SELECTION</w:t>
            </w:r>
          </w:p>
        </w:tc>
      </w:tr>
    </w:tbl>
    <w:p>
      <w:pPr>
        <w:spacing w:after="60" w:line="283" w:lineRule="auto"/>
        <w:rPr>
          <w:lang w:eastAsia="ko-KR"/>
          <w:rFonts w:ascii="맑은 고딕" w:eastAsia="맑은 고딕" w:hAnsi="맑은 고딕"/>
        </w:rPr>
      </w:pPr>
    </w:p>
    <w:p>
      <w:pPr>
        <w:spacing w:after="14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평가는 기술능력 80점과 입찰가격 20점을 합산한 100점 만점으로 실시합니다. 기술능력평가에서 68점 이상을 획득하고 입찰가격이 사업금액 이하인 업체를 협상적격자로 선정합니다.</w:t>
      </w: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1814"/>
        <w:gridCol w:w="7030"/>
        <w:gridCol w:w="850"/>
      </w:tblGrid>
      <w:tr>
        <w:trPr>
          <w:jc w:val="center"/>
        </w:trPr>
        <w:tc>
          <w:tcPr>
            <w:tcW w:w="1814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평가영역</w:t>
            </w:r>
          </w:p>
        </w:tc>
        <w:tc>
          <w:tcPr>
            <w:tcW w:w="7030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평가 포인트</w:t>
            </w:r>
          </w:p>
        </w:tc>
        <w:tc>
          <w:tcPr>
            <w:tcW w:w="850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배점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과업 이해도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작품·도면·현장조건에 대한 이해와 통합 수행전략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10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제작 구현력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 w:hint="eastAsia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목공·철공·작화·조각·재봉·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CNC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가공 등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 xml:space="preserve">제작설비 및 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제작공법의 적정성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, 자체 제작능력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, 특수 무대장치 관련 특허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·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전용기술의 보유 및 활용 능력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10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품질관리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자재선정, 제작정밀도, 표면마감, 내구성 및 품질관리체계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10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구조·기능 안전성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하중·강성·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이동부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·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조립부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·단차·전환구조의 안전성과 기능성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10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공정관리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제작·검수·운송·설치 일정의 구체성 및 실행가능성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10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현장 운영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반입동선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, 하역, 조립·설치, 시설보호, 철거·반출 계획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5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수행조직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책임자 및 목공·철공·작화 등 전문인력 구성과 현장관리체계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5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안전관리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방염, 화재·전기·고소·중량물·산업안전 관리계획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5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유지보수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공연 중 파손·이상 발생 시 보수·교체 및 긴급대응체계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5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유사 수행경험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유사 규모 공연의 무대세트 제작·설치·철거 경험</w:t>
            </w: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10</w:t>
            </w:r>
          </w:p>
        </w:tc>
      </w:tr>
      <w:tr>
        <w:trPr>
          <w:jc w:val="center"/>
        </w:trPr>
        <w:tc>
          <w:tcPr>
            <w:tcW w:w="1814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합계</w:t>
            </w:r>
          </w:p>
        </w:tc>
        <w:tc>
          <w:tcPr>
            <w:tcW w:w="703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80</w:t>
            </w:r>
          </w:p>
        </w:tc>
      </w:tr>
    </w:tbl>
    <w:p>
      <w:pPr>
        <w:spacing w:after="100" w:line="283" w:lineRule="auto"/>
        <w:rPr>
          <w:rFonts w:ascii="맑은 고딕" w:eastAsia="맑은 고딕" w:hAnsi="맑은 고딕"/>
          <w:sz w:val="20"/>
          <w:szCs w:val="20"/>
        </w:rPr>
      </w:pPr>
    </w:p>
    <w:p>
      <w:pPr>
        <w:spacing w:after="60" w:line="283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b/>
          <w:color w:val="111827"/>
          <w:sz w:val="20"/>
          <w:szCs w:val="20"/>
        </w:rPr>
        <w:t>협상순위 결정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협상적격자의 기술능력평가 점수와 입찰가격평가 점수를 합산하여 고득점순으로 협상순위를 정합니다.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합산점수가 같은 경우 기술능력평가 점수가 높은 업체를 우선하며, 기술점수도 같으면 기술 세부평가항목 중 배점이 큰 항목의 고득점자를 우선합니다.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• 우선협상대상자와 협상이 성립하면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차순위자와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협상하지 않습니다. 협상이 결렬될 경우 다음 순위 업체와 순차 협상합니다.</w:t>
      </w:r>
    </w:p>
    <w:p>
      <w:pPr>
        <w:rPr>
          <w:lang w:eastAsia="ko-KR"/>
          <w:rFonts w:ascii="맑은 고딕" w:eastAsia="맑은 고딕" w:hAnsi="맑은 고딕"/>
        </w:rPr>
      </w:pPr>
    </w:p>
    <w:tbl>
      <w:tblPr>
        <w:tblW w:w="9923" w:type="dxa"/>
        <w:tblLook w:val="04A0" w:firstRow="1" w:lastRow="0" w:firstColumn="1" w:lastColumn="0" w:noHBand="0" w:noVBand="1"/>
        <w:tblLayout w:type="fixed"/>
      </w:tblPr>
      <w:tblGrid>
        <w:gridCol w:w="4962"/>
        <w:gridCol w:w="4961"/>
      </w:tblGrid>
      <w:tr>
        <w:trPr>
          <w:trHeight w:val="779" w:hRule="atLeast"/>
        </w:trPr>
        <w:tc>
          <w:tcPr>
            <w:tcW w:w="4962" w:type="dxa"/>
            <w:shd w:val="clear" w:color="auto" w:fill="1F2937"/>
            <w:tcMar>
              <w:top w:w="90" w:type="dxa"/>
              <w:left w:w="80" w:type="dxa"/>
              <w:bottom w:w="90" w:type="dxa"/>
              <w:right w:w="80" w:type="dxa"/>
            </w:tcMar>
            <w:vAlign w:val="center"/>
          </w:tcPr>
          <w:p>
            <w:pPr>
              <w:jc w:val="center"/>
              <w:spacing w:after="0"/>
              <w:rPr>
                <w:lang w:eastAsia="ko-KR"/>
                <w:rFonts w:ascii="맑은 고딕" w:eastAsia="맑은 고딕" w:hAnsi="맑은 고딕" w:hint="eastAsia"/>
                <w:sz w:val="36"/>
                <w:szCs w:val="36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36"/>
                <w:szCs w:val="36"/>
              </w:rPr>
              <w:t>04</w:t>
            </w:r>
          </w:p>
        </w:tc>
        <w:tc>
          <w:tcPr>
            <w:tcW w:w="4961" w:type="dxa"/>
            <w:shd w:val="clear" w:color="auto" w:fill="FFFFFF"/>
            <w:tcMar>
              <w:top w:w="90" w:type="dxa"/>
              <w:left w:w="140" w:type="dxa"/>
              <w:bottom w:w="90" w:type="dxa"/>
              <w:right w:w="80" w:type="dxa"/>
            </w:tcMar>
          </w:tcPr>
          <w:p>
            <w:pPr>
              <w:rPr>
                <w:lang w:eastAsia="ko-KR"/>
                <w:rFonts w:ascii="맑은 고딕" w:eastAsia="맑은 고딕" w:hAnsi="맑은 고딕"/>
                <w:b/>
                <w:color w:val="111827"/>
                <w:sz w:val="30"/>
              </w:rPr>
            </w:pP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>가격평가</w:t>
            </w: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 xml:space="preserve"> · </w:t>
            </w: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>개찰</w:t>
            </w: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 xml:space="preserve"> · </w:t>
            </w:r>
            <w:r>
              <w:rPr>
                <w:rFonts w:ascii="맑은 고딕" w:eastAsia="맑은 고딕" w:hAnsi="맑은 고딕"/>
                <w:b/>
                <w:color w:val="111827"/>
                <w:sz w:val="30"/>
              </w:rPr>
              <w:t>협상</w:t>
            </w:r>
          </w:p>
          <w:p>
            <w:pPr>
              <w:spacing w:after="0" w:line="240" w:lineRule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color w:val="6B7280"/>
                <w:sz w:val="20"/>
                <w:szCs w:val="28"/>
              </w:rPr>
              <w:t>PRICE EVALUATION  BID OPENING NEGOTIATION</w:t>
            </w:r>
          </w:p>
        </w:tc>
      </w:tr>
    </w:tbl>
    <w:p>
      <w:pPr>
        <w:spacing w:after="60" w:line="283" w:lineRule="auto"/>
        <w:rPr>
          <w:rFonts w:ascii="맑은 고딕" w:eastAsia="맑은 고딕" w:hAnsi="맑은 고딕"/>
        </w:rPr>
      </w:pPr>
    </w:p>
    <w:p>
      <w:pPr>
        <w:spacing w:after="80" w:line="283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b/>
          <w:color w:val="111827"/>
          <w:sz w:val="20"/>
          <w:szCs w:val="20"/>
        </w:rPr>
        <w:t>가격평가</w:t>
      </w:r>
    </w:p>
    <w:p>
      <w:pPr>
        <w:spacing w:after="10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입찰가격 평가는 「(계약예규) 협상에 의한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계약체결기준」의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입찰가격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평점산식에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따라 산정합니다.</w:t>
      </w: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2835"/>
        <w:gridCol w:w="6860"/>
      </w:tblGrid>
      <w:tr>
        <w:trPr>
          <w:jc w:val="center"/>
        </w:trPr>
        <w:tc>
          <w:tcPr>
            <w:tcW w:w="2835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6860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적용 기준</w:t>
            </w:r>
          </w:p>
        </w:tc>
      </w:tr>
      <w:tr>
        <w:trPr>
          <w:jc w:val="center"/>
        </w:trPr>
        <w:tc>
          <w:tcPr>
            <w:tcW w:w="2835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평가기준가격의 80% 이상</w:t>
            </w:r>
          </w:p>
        </w:tc>
        <w:tc>
          <w:tcPr>
            <w:tcW w:w="686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가격점수 = 20 × (최저입찰가격 ÷ 해당 입찰가격)</w:t>
            </w:r>
          </w:p>
        </w:tc>
      </w:tr>
      <w:tr>
        <w:trPr>
          <w:jc w:val="center"/>
        </w:trPr>
        <w:tc>
          <w:tcPr>
            <w:tcW w:w="2835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평가기준가격의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80%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미만</w:t>
            </w:r>
          </w:p>
        </w:tc>
        <w:tc>
          <w:tcPr>
            <w:tcW w:w="686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「(계약예규) 협상에 의한 계약체결기준」 [별표]의 저가구간 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평점산식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적용</w:t>
            </w:r>
          </w:p>
        </w:tc>
      </w:tr>
      <w:tr>
        <w:trPr>
          <w:jc w:val="center"/>
        </w:trPr>
        <w:tc>
          <w:tcPr>
            <w:tcW w:w="2835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최저입찰가격이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70% </w:t>
            </w: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미만</w:t>
            </w:r>
          </w:p>
        </w:tc>
        <w:tc>
          <w:tcPr>
            <w:tcW w:w="686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산식상 최저입찰가격은 70% 상당가격으로 계산. 해당 입찰가격이 70% 미만이면 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가격배점한도의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30%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에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 해당하는 점수 부여</w:t>
            </w:r>
          </w:p>
        </w:tc>
      </w:tr>
      <w:tr>
        <w:trPr>
          <w:jc w:val="center"/>
        </w:trPr>
        <w:tc>
          <w:tcPr>
            <w:tcW w:w="2835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평가기준가격</w:t>
            </w:r>
          </w:p>
        </w:tc>
        <w:tc>
          <w:tcPr>
            <w:tcW w:w="686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사업금액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220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,000,000원 (부가가치세 포함)</w:t>
            </w:r>
          </w:p>
        </w:tc>
      </w:tr>
      <w:tr>
        <w:trPr>
          <w:jc w:val="center"/>
        </w:trPr>
        <w:tc>
          <w:tcPr>
            <w:tcW w:w="2835" w:type="dxa"/>
            <w:shd w:val="clear" w:color="auto" w:fill="F3F4F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상한</w:t>
            </w:r>
          </w:p>
        </w:tc>
        <w:tc>
          <w:tcPr>
            <w:tcW w:w="686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 xml:space="preserve">입찰금액이 사업금액 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220</w:t>
            </w:r>
            <w:r>
              <w:rPr>
                <w:lang w:eastAsia="ko-KR"/>
                <w:rFonts w:ascii="맑은 고딕" w:eastAsia="맑은 고딕" w:hAnsi="맑은 고딕"/>
                <w:color w:val="111827"/>
                <w:sz w:val="20"/>
                <w:szCs w:val="20"/>
              </w:rPr>
              <w:t>,000,000원을 초과하는 경우 협상적격자에서 제외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  <w:jc w:val="center"/>
      </w:tblPr>
      <w:tblGrid>
        <w:gridCol w:w="9752"/>
      </w:tblGrid>
      <w:tr>
        <w:trPr>
          <w:jc w:val="center"/>
        </w:trPr>
        <w:tc>
          <w:tcPr>
            <w:tcW w:w="9752" w:type="dxa"/>
            <w:shd w:val="clear" w:color="auto" w:fill="F3F4F6"/>
            <w:tcMar>
              <w:top w:w="110" w:type="dxa"/>
              <w:left w:w="160" w:type="dxa"/>
              <w:bottom w:w="110" w:type="dxa"/>
              <w:right w:w="160" w:type="dxa"/>
            </w:tcMar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0"/>
              </w:rPr>
              <w:t xml:space="preserve">※ 본 입찰은 예정가격을 작성하지 않는 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0"/>
              </w:rPr>
              <w:t>비예가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0"/>
              </w:rPr>
              <w:t xml:space="preserve"> 방식입니다.</w:t>
            </w:r>
          </w:p>
        </w:tc>
      </w:tr>
    </w:tbl>
    <w:p>
      <w:pPr>
        <w:spacing w:after="4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</w:p>
    <w:p>
      <w:pPr>
        <w:spacing w:after="80" w:before="10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b/>
          <w:color w:val="111827"/>
          <w:sz w:val="20"/>
          <w:szCs w:val="20"/>
        </w:rPr>
        <w:t>개찰 및 협상 절차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1. 가격입찰서는 나라장터를 통해 전자 제출하며,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가격개찰은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기술능력평가 완료 후 실시합니다.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2. 나라장터의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가격투찰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결과만으로 낙찰자를 자동 결정하지 않습니다. 기술점수와 가격점수를 합산하여 협상순위를 정합니다.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3. 협상은 1순위 협상적격자부터 진행하며, 과업내용·장비구성·이행방법·일정·안전 및 유지관리 방안·제안사의 특장점과 차별화 제안·가격 등을 대상으로 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4. 협상가격은 사업금액 범위 내에서 해당 업체가 제출한 입찰가격을 기준으로 하며 관계 규정이 정한 범위를 초과할 수 없습니다.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5. 협상이 성립한 업체를 최종 낙찰자로 결정하고 나라장터를 통해 전자계약을 체결합니다.</w:t>
      </w:r>
    </w:p>
    <w:p>
      <w:pPr>
        <w:rPr>
          <w:lang w:eastAsia="ko-KR"/>
          <w:rFonts w:ascii="맑은 고딕" w:eastAsia="맑은 고딕" w:hAnsi="맑은 고딕" w:hint="eastAsia"/>
        </w:rPr>
      </w:pPr>
      <w:r>
        <w:rPr>
          <w:lang w:eastAsia="ko-KR"/>
          <w:rFonts w:ascii="맑은 고딕" w:eastAsia="맑은 고딕" w:hAnsi="맑은 고딕"/>
        </w:rPr>
        <w:br w:type="page"/>
      </w:r>
    </w:p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4876"/>
        <w:gridCol w:w="4876"/>
      </w:tblGrid>
      <w:tr>
        <w:tc>
          <w:tcPr>
            <w:tcW w:w="4876" w:type="dxa"/>
            <w:shd w:val="clear" w:color="auto" w:fill="1F2937"/>
            <w:tcMar>
              <w:top w:w="90" w:type="dxa"/>
              <w:left w:w="80" w:type="dxa"/>
              <w:bottom w:w="90" w:type="dxa"/>
              <w:right w:w="80" w:type="dxa"/>
            </w:tcMar>
          </w:tcPr>
          <w:p>
            <w:pPr>
              <w:jc w:val="center"/>
              <w:spacing w:after="0"/>
              <w:rPr>
                <w:rFonts w:ascii="맑은 고딕" w:eastAsia="맑은 고딕" w:hAnsi="맑은 고딕"/>
                <w:sz w:val="44"/>
                <w:szCs w:val="44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44"/>
                <w:szCs w:val="44"/>
              </w:rPr>
              <w:t>05</w:t>
            </w:r>
          </w:p>
        </w:tc>
        <w:tc>
          <w:tcPr>
            <w:tcW w:w="4876" w:type="dxa"/>
            <w:shd w:val="clear" w:color="auto" w:fill="FFFFFF"/>
            <w:tcMar>
              <w:top w:w="90" w:type="dxa"/>
              <w:left w:w="140" w:type="dxa"/>
              <w:bottom w:w="90" w:type="dxa"/>
              <w:right w:w="80" w:type="dxa"/>
            </w:tcMar>
          </w:tcPr>
          <w:p>
            <w:pPr>
              <w:spacing w:after="0"/>
              <w:rPr>
                <w:lang w:eastAsia="ko-KR"/>
                <w:rFonts w:ascii="맑은 고딕" w:eastAsia="맑은 고딕" w:hAnsi="맑은 고딕"/>
                <w:color w:val="6B7280"/>
                <w:sz w:val="16"/>
              </w:rPr>
            </w:pPr>
            <w:r>
              <w:rPr>
                <w:lang w:eastAsia="ko-KR"/>
                <w:rFonts w:ascii="맑은 고딕" w:eastAsia="맑은 고딕" w:hAnsi="맑은 고딕"/>
                <w:b/>
                <w:color w:val="111827"/>
                <w:sz w:val="30"/>
              </w:rPr>
              <w:t>입찰 유의사항 및 문의</w:t>
            </w:r>
            <w:r>
              <w:rPr>
                <w:lang w:eastAsia="ko-KR"/>
                <w:rFonts w:ascii="맑은 고딕" w:eastAsia="맑은 고딕" w:hAnsi="맑은 고딕"/>
                <w:color w:val="6B7280"/>
                <w:sz w:val="16"/>
              </w:rPr>
              <w:t xml:space="preserve">  </w:t>
            </w:r>
          </w:p>
          <w:p>
            <w:pPr>
              <w:spacing w:after="0"/>
              <w:rPr>
                <w:lang w:eastAsia="ko-KR"/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6B7280"/>
                <w:sz w:val="20"/>
                <w:szCs w:val="20"/>
              </w:rPr>
              <w:t>NOTICE &amp; INQUIRIES</w:t>
            </w:r>
          </w:p>
        </w:tc>
      </w:tr>
    </w:tbl>
    <w:p>
      <w:pPr>
        <w:spacing w:after="6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</w:p>
    <w:p>
      <w:pPr>
        <w:spacing w:after="8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b/>
          <w:color w:val="111827"/>
          <w:sz w:val="20"/>
          <w:szCs w:val="20"/>
        </w:rPr>
        <w:t>입찰 전 확인사항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• 입찰참가자는 본 공고문과 함께 과업지시서, 장비목록 및 규격서, 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국가종합전자조달시스템</w:t>
      </w: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 xml:space="preserve"> 전자입찰 관련 규정, 정부 입찰·계약 집행기준, 용역입찰유의서 및 용역계약 일반조건, 「(계약예규) 협상에 의한 계약체결기준」 등 관계 규정을 충분히 확인한 후 입찰에 참가하여야 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관련 서류 및 규정을 확인하지 않아 발생하는 불이익에 대한 책임은 입찰참가자에게 있습니다.</w:t>
      </w:r>
    </w:p>
    <w:p>
      <w:pPr>
        <w:spacing w:after="80" w:before="140" w:line="283" w:lineRule="auto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b/>
          <w:color w:val="111827"/>
          <w:sz w:val="20"/>
          <w:szCs w:val="20"/>
        </w:rPr>
        <w:t>입찰보증금 및 무효 처리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입찰보증금의 납부 및 귀속은 국가계약 관계 법령과 나라장터 전자입찰 관련 규정에 따릅니다.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관계 법령 및 입찰유의서에서 정한 무효 사유에 해당하는 입찰은 무효로 처리합니다.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가격입찰서 또는 제안서 중 하나라도 제출기한 내 제출되지 않은 경우 입찰을 무효로 처리할 수 있습니다.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  <w:r>
        <w:rPr>
          <w:lang w:eastAsia="ko-KR"/>
          <w:rFonts w:ascii="맑은 고딕" w:eastAsia="맑은 고딕" w:hAnsi="맑은 고딕"/>
          <w:color w:val="111827"/>
          <w:sz w:val="20"/>
          <w:szCs w:val="20"/>
        </w:rPr>
        <w:t>• 허위 또는 위·변조된 제안자료 제출이 확인될 경우 협상적격자·낙찰자 선정에서 제외하거나 계약을 해제·해지할 수 있습니다.</w:t>
      </w: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color w:val="111827"/>
          <w:sz w:val="20"/>
          <w:szCs w:val="20"/>
        </w:rPr>
      </w:pPr>
    </w:p>
    <w:p>
      <w:pPr>
        <w:ind w:left="170" w:hanging="170"/>
        <w:spacing w:after="60"/>
        <w:rPr>
          <w:lang w:eastAsia="ko-KR"/>
          <w:rFonts w:ascii="맑은 고딕" w:eastAsia="맑은 고딕" w:hAnsi="맑은 고딕"/>
          <w:sz w:val="20"/>
          <w:szCs w:val="20"/>
        </w:rPr>
      </w:pPr>
    </w:p>
    <w:p>
      <w:pPr>
        <w:ind w:left="170" w:hanging="170"/>
        <w:spacing w:after="60"/>
        <w:rPr>
          <w:lang w:eastAsia="ko-KR"/>
          <w:rFonts w:ascii="맑은 고딕" w:eastAsia="맑은 고딕" w:hAnsi="맑은 고딕" w:hint="eastAsia"/>
          <w:sz w:val="20"/>
          <w:szCs w:val="20"/>
        </w:rPr>
      </w:pPr>
    </w:p>
    <w:p>
      <w:pPr>
        <w:spacing w:after="80" w:before="140" w:line="283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b/>
          <w:color w:val="111827"/>
          <w:sz w:val="20"/>
          <w:szCs w:val="20"/>
        </w:rPr>
        <w:t>문의처</w:t>
      </w:r>
    </w:p>
    <w:tbl>
      <w:tblPr>
        <w:tblW w:w="0" w:type="auto"/>
        <w:tblBorders>
          <w:top w:val="single" w:sz="6" w:space="0" w:color="D1D5DB"/>
          <w:left w:val="single" w:sz="6" w:space="0" w:color="D1D5DB"/>
          <w:bottom w:val="single" w:sz="6" w:space="0" w:color="D1D5DB"/>
          <w:right w:val="single" w:sz="6" w:space="0" w:color="D1D5DB"/>
          <w:insideH w:val="single" w:sz="6" w:space="0" w:color="D1D5DB"/>
          <w:insideV w:val="single" w:sz="6" w:space="0" w:color="D1D5DB"/>
        </w:tblBorders>
        <w:tblLook w:val="04A0" w:firstRow="1" w:lastRow="0" w:firstColumn="1" w:lastColumn="0" w:noHBand="0" w:noVBand="1"/>
        <w:jc w:val="center"/>
        <w:tblLayout w:type="fixed"/>
      </w:tblPr>
      <w:tblGrid>
        <w:gridCol w:w="2551"/>
        <w:gridCol w:w="2551"/>
        <w:gridCol w:w="4592"/>
      </w:tblGrid>
      <w:tr>
        <w:trPr>
          <w:jc w:val="center"/>
        </w:trPr>
        <w:tc>
          <w:tcPr>
            <w:tcW w:w="2551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2551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담당</w:t>
            </w:r>
          </w:p>
        </w:tc>
        <w:tc>
          <w:tcPr>
            <w:tcW w:w="4592" w:type="dxa"/>
            <w:shd w:val="clear" w:color="auto" w:fill="1F293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jc w:val="center"/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color w:val="FFFFFF"/>
                <w:sz w:val="20"/>
                <w:szCs w:val="20"/>
              </w:rPr>
              <w:t>연락처</w:t>
            </w:r>
          </w:p>
        </w:tc>
      </w:tr>
      <w:tr>
        <w:trPr>
          <w:jc w:val="center"/>
        </w:trPr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기술 및 과업</w:t>
            </w:r>
          </w:p>
        </w:tc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박현경</w:t>
            </w:r>
          </w:p>
        </w:tc>
        <w:tc>
          <w:tcPr>
            <w:tcW w:w="459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010-3788-8437</w:t>
            </w:r>
          </w:p>
        </w:tc>
      </w:tr>
      <w:tr>
        <w:trPr>
          <w:jc w:val="center"/>
        </w:trPr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입찰 및 계약</w:t>
            </w:r>
          </w:p>
        </w:tc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이솔</w:t>
            </w:r>
          </w:p>
        </w:tc>
        <w:tc>
          <w:tcPr>
            <w:tcW w:w="459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lang w:eastAsia="ko-KR"/>
                <w:rFonts w:ascii="맑은 고딕" w:eastAsia="맑은 고딕" w:hAnsi="맑은 고딕" w:hint="eastAsia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010-</w:t>
            </w:r>
            <w:r>
              <w:rPr>
                <w:lang w:eastAsia="ko-KR"/>
                <w:rFonts w:ascii="맑은 고딕" w:eastAsia="맑은 고딕" w:hAnsi="맑은 고딕" w:hint="eastAsia"/>
                <w:color w:val="111827"/>
                <w:sz w:val="20"/>
                <w:szCs w:val="20"/>
              </w:rPr>
              <w:t>7760-0635</w:t>
            </w:r>
          </w:p>
        </w:tc>
      </w:tr>
      <w:tr>
        <w:trPr>
          <w:jc w:val="center"/>
        </w:trPr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나라장터 시스템</w:t>
            </w:r>
          </w:p>
        </w:tc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정부조달콜센터</w:t>
            </w:r>
          </w:p>
        </w:tc>
        <w:tc>
          <w:tcPr>
            <w:tcW w:w="459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>
            <w:pPr>
              <w:spacing w:after="0" w:line="252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111827"/>
                <w:sz w:val="20"/>
                <w:szCs w:val="20"/>
              </w:rPr>
              <w:t>1588-0800</w:t>
            </w:r>
          </w:p>
        </w:tc>
      </w:tr>
    </w:tbl>
    <w:p>
      <w:pPr>
        <w:spacing w:after="280" w:line="283" w:lineRule="auto"/>
        <w:rPr>
          <w:lang w:eastAsia="ko-KR"/>
          <w:rFonts w:ascii="맑은 고딕" w:eastAsia="맑은 고딕" w:hAnsi="맑은 고딕" w:hint="eastAsi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752"/>
      </w:tblGrid>
      <w:tr>
        <w:tc>
          <w:tcPr>
            <w:tcW w:w="9961" w:type="dxa"/>
            <w:shd w:val="clear" w:color="auto" w:fill="F3F4F6"/>
            <w:tcMar>
              <w:top w:w="180" w:type="dxa"/>
              <w:left w:w="180" w:type="dxa"/>
              <w:bottom w:w="180" w:type="dxa"/>
              <w:right w:w="180" w:type="dxa"/>
            </w:tcMar>
          </w:tcPr>
          <w:p>
            <w:pPr>
              <w:jc w:val="center"/>
              <w:spacing w:after="40"/>
              <w:rPr>
                <w:lang w:eastAsia="ko-KR"/>
                <w:rFonts w:ascii="맑은 고딕" w:eastAsia="맑은 고딕" w:hAnsi="맑은 고딕"/>
                <w:b/>
                <w:color w:val="111827"/>
                <w:sz w:val="22"/>
              </w:rPr>
            </w:pPr>
            <w:r>
              <w:rPr>
                <w:lang w:eastAsia="ko-KR"/>
                <w:rFonts w:ascii="맑은 고딕" w:eastAsia="맑은 고딕" w:hAnsi="맑은 고딕" w:hint="eastAsia"/>
                <w:b/>
                <w:color w:val="111827"/>
                <w:sz w:val="22"/>
              </w:rPr>
              <w:t>뮤</w:t>
            </w:r>
            <w:r>
              <w:rPr>
                <w:lang w:eastAsia="ko-KR"/>
                <w:rFonts w:ascii="맑은 고딕" w:eastAsia="맑은 고딕" w:hAnsi="맑은 고딕"/>
                <w:b/>
                <w:color w:val="111827"/>
                <w:sz w:val="22"/>
              </w:rPr>
              <w:t>지컬 &lt;남벌&gt; 무대세트 제작·운반·설치·공연기간 유지관리·철거 용역 계약을 위하여 위와 같이 전자입찰을 공고합니다</w:t>
            </w:r>
          </w:p>
          <w:p>
            <w:pPr>
              <w:jc w:val="center"/>
              <w:spacing w:after="4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color w:val="6B7280"/>
              </w:rPr>
              <w:t>2026.</w:t>
            </w:r>
            <w:r>
              <w:rPr>
                <w:lang w:eastAsia="ko-KR"/>
                <w:rFonts w:ascii="맑은 고딕" w:eastAsia="맑은 고딕" w:hAnsi="맑은 고딕"/>
                <w:color w:val="6B7280"/>
                <w:rtl w:val="off"/>
              </w:rPr>
              <w:t>10.02</w:t>
            </w:r>
          </w:p>
          <w:p>
            <w:pPr>
              <w:jc w:val="center"/>
              <w:spacing w:after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b/>
                <w:color w:val="111827"/>
                <w:sz w:val="24"/>
              </w:rPr>
              <w:t>주식회사 감탄사</w:t>
            </w:r>
          </w:p>
        </w:tc>
      </w:tr>
    </w:tbl>
    <w:p>
      <w:pPr>
        <w:rPr>
          <w:rFonts w:ascii="맑은 고딕" w:eastAsia="맑은 고딕" w:hAnsi="맑은 고딕"/>
        </w:rPr>
      </w:pPr>
    </w:p>
    <w:sectPr>
      <w:pgSz w:w="11906" w:h="16838"/>
      <w:pgMar w:top="1134" w:right="1077" w:bottom="1134" w:left="1077" w:header="720" w:footer="720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Aptos">
    <w:panose1 w:val="020B0004FFFFFFFFFFFF"/>
    <w:family w:val="swiss"/>
    <w:charset w:val="00"/>
    <w:notTrueType w:val="false"/>
    <w:pitch w:val="variable"/>
    <w:sig w:usb0="20000287" w:usb1="00000003" w:usb2="00000000" w:usb3="00000000" w:csb0="0000019F" w:csb1="00000000"/>
  </w:font>
  <w:font w:name="Noto Sans CJK KR">
    <w:panose1 w:val="00000000000000000000"/>
    <w:family w:val="roman"/>
    <w:altName w:val="Cambria"/>
    <w:charset w:val="00"/>
    <w:notTrueType w:val="false"/>
  </w:font>
  <w:font w:name="Courier">
    <w:panose1 w:val="02060409020205020404"/>
    <w:family w:val="auto"/>
    <w:charset w:val="00"/>
    <w:notTrueType w:val="false"/>
    <w:sig w:usb0="00000001" w:usb1="00000001" w:usb2="00000001" w:usb3="00000001" w:csb0="00000001" w:csb1="00000001"/>
  </w:font>
  <w:font w:name="Symbol">
    <w:panose1 w:val="05050102010706020507"/>
    <w:family w:val="decorative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  <w:jc w:val="right"/>
    </w:pPr>
    <w:r>
      <w:rPr>
        <w:color w:val="6B7280"/>
        <w:sz w:val="14"/>
      </w:rPr>
      <w:t>MUSICAL &lt;NAMBEOL</w:t>
    </w:r>
    <w:r>
      <w:rPr>
        <w:color w:val="6B7280"/>
        <w:sz w:val="14"/>
      </w:rPr>
      <w:t>&gt;  |</w:t>
    </w:r>
    <w:r>
      <w:rPr>
        <w:color w:val="6B7280"/>
        <w:sz w:val="14"/>
      </w:rPr>
      <w:t xml:space="preserve">  BID NOTICE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a0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20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30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a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2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Pr>
      <w:rFonts w:ascii="Aptos" w:eastAsia="Noto Sans CJK KR" w:hAnsi="Aptos"/>
      <w:sz w:val="18"/>
    </w:rPr>
  </w:style>
  <w:style w:type="paragraph" w:styleId="1">
    <w:name w:val="heading 1"/>
    <w:uiPriority w:val="9"/>
    <w:basedOn w:val="a1"/>
    <w:next w:val="a1"/>
    <w:link w:val="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1">
    <w:name w:val="heading 2"/>
    <w:uiPriority w:val="9"/>
    <w:basedOn w:val="a1"/>
    <w:next w:val="a1"/>
    <w:link w:val="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1">
    <w:name w:val="heading 3"/>
    <w:uiPriority w:val="9"/>
    <w:basedOn w:val="a1"/>
    <w:next w:val="a1"/>
    <w:link w:val="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uiPriority w:val="9"/>
    <w:basedOn w:val="a1"/>
    <w:next w:val="a1"/>
    <w:link w:val="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uiPriority w:val="9"/>
    <w:basedOn w:val="a1"/>
    <w:next w:val="a1"/>
    <w:link w:val="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uiPriority w:val="9"/>
    <w:basedOn w:val="a1"/>
    <w:next w:val="a1"/>
    <w:link w:val="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uiPriority w:val="9"/>
    <w:basedOn w:val="a1"/>
    <w:next w:val="a1"/>
    <w:link w:val="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uiPriority w:val="9"/>
    <w:basedOn w:val="a1"/>
    <w:next w:val="a1"/>
    <w:link w:val="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uiPriority w:val="9"/>
    <w:basedOn w:val="a1"/>
    <w:next w:val="a1"/>
    <w:link w:val="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uiPriority w:val="99"/>
    <w:basedOn w:val="a1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2"/>
    <w:link w:val="a5"/>
  </w:style>
  <w:style w:type="paragraph" w:styleId="a6">
    <w:name w:val="footer"/>
    <w:uiPriority w:val="99"/>
    <w:basedOn w:val="a1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2"/>
    <w:link w:val="a6"/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uiPriority w:val="9"/>
    <w:basedOn w:val="a2"/>
    <w:link w:val="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uiPriority w:val="9"/>
    <w:basedOn w:val="a2"/>
    <w:link w:val="21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uiPriority w:val="9"/>
    <w:basedOn w:val="a2"/>
    <w:link w:val="31"/>
    <w:rPr>
      <w:rFonts w:asciiTheme="majorHAnsi" w:eastAsiaTheme="majorEastAsia" w:hAnsiTheme="majorHAnsi" w:cstheme="majorBidi"/>
      <w:b/>
      <w:bCs/>
      <w:color w:val="4F81BD"/>
    </w:rPr>
  </w:style>
  <w:style w:type="paragraph" w:styleId="a8">
    <w:name w:val="Title"/>
    <w:uiPriority w:val="10"/>
    <w:basedOn w:val="a1"/>
    <w:next w:val="a1"/>
    <w:link w:val="Char1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Char1">
    <w:name w:val="제목 Char"/>
    <w:uiPriority w:val="10"/>
    <w:basedOn w:val="a2"/>
    <w:link w:val="a8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a9">
    <w:name w:val="Subtitle"/>
    <w:uiPriority w:val="11"/>
    <w:basedOn w:val="a1"/>
    <w:next w:val="a1"/>
    <w:link w:val="Char2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Char2">
    <w:name w:val="부제 Char"/>
    <w:uiPriority w:val="11"/>
    <w:basedOn w:val="a2"/>
    <w:link w:val="a9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aa">
    <w:name w:val="List Paragraph"/>
    <w:uiPriority w:val="34"/>
    <w:basedOn w:val="a1"/>
    <w:qFormat/>
    <w:pPr>
      <w:ind w:left="720"/>
      <w:contextualSpacing/>
    </w:pPr>
  </w:style>
  <w:style w:type="paragraph" w:styleId="ab">
    <w:name w:val="Body Text"/>
    <w:uiPriority w:val="99"/>
    <w:basedOn w:val="a1"/>
    <w:link w:val="Char3"/>
    <w:unhideWhenUsed/>
    <w:pPr>
      <w:spacing w:after="120"/>
    </w:pPr>
  </w:style>
  <w:style w:type="character" w:customStyle="1" w:styleId="Char3">
    <w:name w:val="본문 Char"/>
    <w:uiPriority w:val="99"/>
    <w:basedOn w:val="a2"/>
    <w:link w:val="ab"/>
  </w:style>
  <w:style w:type="paragraph" w:styleId="22">
    <w:name w:val="Body Text 2"/>
    <w:uiPriority w:val="99"/>
    <w:basedOn w:val="a1"/>
    <w:link w:val="2Char0"/>
    <w:unhideWhenUsed/>
    <w:pPr>
      <w:spacing w:after="120" w:line="480" w:lineRule="auto"/>
    </w:pPr>
  </w:style>
  <w:style w:type="character" w:customStyle="1" w:styleId="2Char0">
    <w:name w:val="본문 2 Char"/>
    <w:uiPriority w:val="99"/>
    <w:basedOn w:val="a2"/>
    <w:link w:val="22"/>
  </w:style>
  <w:style w:type="paragraph" w:styleId="32">
    <w:name w:val="Body Text 3"/>
    <w:uiPriority w:val="99"/>
    <w:basedOn w:val="a1"/>
    <w:link w:val="3Char0"/>
    <w:unhideWhenUsed/>
    <w:pPr>
      <w:spacing w:after="120"/>
    </w:pPr>
    <w:rPr>
      <w:sz w:val="16"/>
      <w:szCs w:val="16"/>
    </w:rPr>
  </w:style>
  <w:style w:type="character" w:customStyle="1" w:styleId="3Char0">
    <w:name w:val="본문 3 Char"/>
    <w:uiPriority w:val="99"/>
    <w:basedOn w:val="a2"/>
    <w:link w:val="32"/>
    <w:rPr>
      <w:sz w:val="16"/>
      <w:szCs w:val="16"/>
    </w:rPr>
  </w:style>
  <w:style w:type="paragraph" w:styleId="ac">
    <w:name w:val="List"/>
    <w:uiPriority w:val="99"/>
    <w:basedOn w:val="a1"/>
    <w:unhideWhenUsed/>
    <w:pPr>
      <w:ind w:left="360" w:hanging="360"/>
      <w:contextualSpacing/>
    </w:pPr>
  </w:style>
  <w:style w:type="paragraph" w:styleId="23">
    <w:name w:val="List 2"/>
    <w:uiPriority w:val="99"/>
    <w:basedOn w:val="a1"/>
    <w:unhideWhenUsed/>
    <w:pPr>
      <w:ind w:left="720" w:hanging="360"/>
      <w:contextualSpacing/>
    </w:pPr>
  </w:style>
  <w:style w:type="paragraph" w:styleId="33">
    <w:name w:val="List 3"/>
    <w:uiPriority w:val="99"/>
    <w:basedOn w:val="a1"/>
    <w:unhideWhenUsed/>
    <w:pPr>
      <w:ind w:left="1080" w:hanging="360"/>
      <w:contextualSpacing/>
    </w:pPr>
  </w:style>
  <w:style w:type="paragraph" w:styleId="a0">
    <w:name w:val="List Bullet"/>
    <w:uiPriority w:val="99"/>
    <w:basedOn w:val="a1"/>
    <w:unhideWhenUsed/>
    <w:pPr>
      <w:contextualSpacing/>
      <w:numPr>
        <w:ilvl w:val="0"/>
        <w:numId w:val="1"/>
      </w:numPr>
    </w:pPr>
  </w:style>
  <w:style w:type="paragraph" w:styleId="20">
    <w:name w:val="List Bullet 2"/>
    <w:uiPriority w:val="99"/>
    <w:basedOn w:val="a1"/>
    <w:unhideWhenUsed/>
    <w:pPr>
      <w:contextualSpacing/>
      <w:numPr>
        <w:ilvl w:val="0"/>
        <w:numId w:val="2"/>
      </w:numPr>
    </w:pPr>
  </w:style>
  <w:style w:type="paragraph" w:styleId="30">
    <w:name w:val="List Bullet 3"/>
    <w:uiPriority w:val="99"/>
    <w:basedOn w:val="a1"/>
    <w:unhideWhenUsed/>
    <w:pPr>
      <w:contextualSpacing/>
      <w:numPr>
        <w:ilvl w:val="0"/>
        <w:numId w:val="3"/>
      </w:numPr>
    </w:pPr>
  </w:style>
  <w:style w:type="paragraph" w:styleId="a">
    <w:name w:val="List Number"/>
    <w:uiPriority w:val="99"/>
    <w:basedOn w:val="a1"/>
    <w:unhideWhenUsed/>
    <w:pPr>
      <w:contextualSpacing/>
      <w:numPr>
        <w:ilvl w:val="0"/>
        <w:numId w:val="4"/>
      </w:numPr>
    </w:pPr>
  </w:style>
  <w:style w:type="paragraph" w:styleId="2">
    <w:name w:val="List Number 2"/>
    <w:uiPriority w:val="99"/>
    <w:basedOn w:val="a1"/>
    <w:unhideWhenUsed/>
    <w:pPr>
      <w:contextualSpacing/>
      <w:numPr>
        <w:ilvl w:val="0"/>
        <w:numId w:val="5"/>
      </w:numPr>
    </w:pPr>
  </w:style>
  <w:style w:type="paragraph" w:styleId="3">
    <w:name w:val="List Number 3"/>
    <w:uiPriority w:val="99"/>
    <w:basedOn w:val="a1"/>
    <w:unhideWhenUsed/>
    <w:pPr>
      <w:contextualSpacing/>
      <w:numPr>
        <w:ilvl w:val="0"/>
        <w:numId w:val="6"/>
      </w:numPr>
    </w:pPr>
  </w:style>
  <w:style w:type="paragraph" w:styleId="ad">
    <w:name w:val="List Continue"/>
    <w:uiPriority w:val="99"/>
    <w:basedOn w:val="a1"/>
    <w:unhideWhenUsed/>
    <w:pPr>
      <w:ind w:left="360"/>
      <w:contextualSpacing/>
      <w:spacing w:after="120"/>
    </w:pPr>
  </w:style>
  <w:style w:type="paragraph" w:styleId="24">
    <w:name w:val="List Continue 2"/>
    <w:uiPriority w:val="99"/>
    <w:basedOn w:val="a1"/>
    <w:unhideWhenUsed/>
    <w:pPr>
      <w:ind w:left="720"/>
      <w:contextualSpacing/>
      <w:spacing w:after="120"/>
    </w:pPr>
  </w:style>
  <w:style w:type="paragraph" w:styleId="34">
    <w:name w:val="List Continue 3"/>
    <w:uiPriority w:val="99"/>
    <w:basedOn w:val="a1"/>
    <w:unhideWhenUsed/>
    <w:pPr>
      <w:ind w:left="1080"/>
      <w:contextualSpacing/>
      <w:spacing w:after="120"/>
    </w:pPr>
  </w:style>
  <w:style w:type="paragraph" w:styleId="ae">
    <w:name w:val="macro"/>
    <w:uiPriority w:val="99"/>
    <w:link w:val="Char4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uiPriority w:val="99"/>
    <w:basedOn w:val="a2"/>
    <w:link w:val="ae"/>
    <w:rPr>
      <w:rFonts w:ascii="Courier" w:hAnsi="Courier"/>
      <w:sz w:val="20"/>
      <w:szCs w:val="20"/>
    </w:rPr>
  </w:style>
  <w:style w:type="paragraph" w:styleId="af">
    <w:name w:val="Quote"/>
    <w:uiPriority w:val="29"/>
    <w:basedOn w:val="a1"/>
    <w:next w:val="a1"/>
    <w:link w:val="Char5"/>
    <w:qFormat/>
    <w:rPr>
      <w:i/>
      <w:iCs/>
      <w:color w:val="000000"/>
    </w:rPr>
  </w:style>
  <w:style w:type="character" w:customStyle="1" w:styleId="Char5">
    <w:name w:val="인용 Char"/>
    <w:uiPriority w:val="29"/>
    <w:basedOn w:val="a2"/>
    <w:link w:val="af"/>
    <w:rPr>
      <w:i/>
      <w:iCs/>
      <w:color w:val="000000"/>
    </w:rPr>
  </w:style>
  <w:style w:type="character" w:customStyle="1" w:styleId="4Char">
    <w:name w:val="제목 4 Char"/>
    <w:uiPriority w:val="9"/>
    <w:basedOn w:val="a2"/>
    <w:link w:val="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uiPriority w:val="9"/>
    <w:basedOn w:val="a2"/>
    <w:link w:val="5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uiPriority w:val="9"/>
    <w:basedOn w:val="a2"/>
    <w:link w:val="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uiPriority w:val="9"/>
    <w:basedOn w:val="a2"/>
    <w:link w:val="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uiPriority w:val="9"/>
    <w:basedOn w:val="a2"/>
    <w:link w:val="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uiPriority w:val="9"/>
    <w:basedOn w:val="a2"/>
    <w:link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f0">
    <w:name w:val="caption"/>
    <w:uiPriority w:val="35"/>
    <w:basedOn w:val="a1"/>
    <w:next w:val="a1"/>
    <w:qFormat/>
    <w:semiHidden/>
    <w:unhideWhenUsed/>
    <w:pPr>
      <w:spacing w:line="240" w:lineRule="auto"/>
    </w:pPr>
    <w:rPr>
      <w:b/>
      <w:bCs/>
      <w:color w:val="4F81BD"/>
      <w:szCs w:val="18"/>
    </w:rPr>
  </w:style>
  <w:style w:type="character" w:styleId="af1">
    <w:name w:val="Strong"/>
    <w:uiPriority w:val="22"/>
    <w:basedOn w:val="a2"/>
    <w:qFormat/>
    <w:rPr>
      <w:b/>
      <w:bCs/>
    </w:rPr>
  </w:style>
  <w:style w:type="character" w:styleId="af2">
    <w:name w:val="Emphasis"/>
    <w:uiPriority w:val="20"/>
    <w:basedOn w:val="a2"/>
    <w:qFormat/>
    <w:rPr>
      <w:i/>
      <w:iCs/>
    </w:rPr>
  </w:style>
  <w:style w:type="paragraph" w:styleId="af3">
    <w:name w:val="Intense Quote"/>
    <w:uiPriority w:val="30"/>
    <w:basedOn w:val="a1"/>
    <w:next w:val="a1"/>
    <w:link w:val="Char6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Char6">
    <w:name w:val="강한 인용 Char"/>
    <w:uiPriority w:val="30"/>
    <w:basedOn w:val="a2"/>
    <w:link w:val="af3"/>
    <w:rPr>
      <w:b/>
      <w:bCs/>
      <w:i/>
      <w:iCs/>
      <w:color w:val="4F81BD"/>
    </w:rPr>
  </w:style>
  <w:style w:type="character" w:styleId="af4">
    <w:name w:val="Subtle Emphasis"/>
    <w:uiPriority w:val="19"/>
    <w:basedOn w:val="a2"/>
    <w:qFormat/>
    <w:rPr>
      <w:i/>
      <w:iCs/>
      <w:color w:val="7F7F7F"/>
    </w:rPr>
  </w:style>
  <w:style w:type="character" w:styleId="af5">
    <w:name w:val="Intense Emphasis"/>
    <w:uiPriority w:val="21"/>
    <w:basedOn w:val="a2"/>
    <w:qFormat/>
    <w:rPr>
      <w:b/>
      <w:bCs/>
      <w:i/>
      <w:iCs/>
      <w:color w:val="4F81BD"/>
    </w:rPr>
  </w:style>
  <w:style w:type="character" w:styleId="af6">
    <w:name w:val="Subtle Reference"/>
    <w:uiPriority w:val="31"/>
    <w:basedOn w:val="a2"/>
    <w:qFormat/>
    <w:rPr>
      <w:smallCaps/>
      <w:color w:val="C0504D"/>
      <w:u w:val="single" w:color="auto"/>
    </w:rPr>
  </w:style>
  <w:style w:type="character" w:styleId="af7">
    <w:name w:val="Intense Reference"/>
    <w:uiPriority w:val="32"/>
    <w:basedOn w:val="a2"/>
    <w:qFormat/>
    <w:rPr>
      <w:b/>
      <w:bCs/>
      <w:smallCaps/>
      <w:color w:val="C0504D"/>
      <w:u w:val="single" w:color="auto"/>
      <w:spacing w:val="5"/>
    </w:rPr>
  </w:style>
  <w:style w:type="character" w:styleId="af8">
    <w:name w:val="Book Title"/>
    <w:uiPriority w:val="33"/>
    <w:basedOn w:val="a2"/>
    <w:qFormat/>
    <w:rPr>
      <w:b/>
      <w:bCs/>
      <w:smallCaps/>
      <w:spacing w:val="5"/>
    </w:rPr>
  </w:style>
  <w:style w:type="paragraph" w:styleId="TOC">
    <w:name w:val="TOC Heading"/>
    <w:uiPriority w:val="39"/>
    <w:basedOn w:val="1"/>
    <w:next w:val="a1"/>
    <w:qFormat/>
    <w:semiHidden/>
    <w:unhideWhenUsed/>
    <w:pPr>
      <w:outlineLvl w:val="9"/>
    </w:pPr>
  </w:style>
  <w:style w:type="table" w:styleId="af9">
    <w:name w:val="Table Grid"/>
    <w:uiPriority w:val="59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uiPriority w:val="60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-1">
    <w:name w:val="Light Shading Accent 1"/>
    <w:uiPriority w:val="60"/>
    <w:basedOn w:val="a3"/>
    <w:pPr>
      <w:spacing w:after="0" w:line="240" w:lineRule="auto"/>
    </w:pPr>
    <w:rPr>
      <w:color w:val="376092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uiPriority w:val="60"/>
    <w:basedOn w:val="a3"/>
    <w:pPr>
      <w:spacing w:after="0" w:line="240" w:lineRule="auto"/>
    </w:pPr>
    <w:rPr>
      <w:color w:val="953735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-3">
    <w:name w:val="Light Shading Accent 3"/>
    <w:uiPriority w:val="60"/>
    <w:basedOn w:val="a3"/>
    <w:pPr>
      <w:spacing w:after="0" w:line="240" w:lineRule="auto"/>
    </w:pPr>
    <w:rPr>
      <w:color w:val="76933C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uiPriority w:val="60"/>
    <w:basedOn w:val="a3"/>
    <w:pPr>
      <w:spacing w:after="0" w:line="240" w:lineRule="auto"/>
    </w:pPr>
    <w:rPr>
      <w:color w:val="604A7B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uiPriority w:val="60"/>
    <w:basedOn w:val="a3"/>
    <w:pPr>
      <w:spacing w:after="0" w:line="240" w:lineRule="auto"/>
    </w:pPr>
    <w:rPr>
      <w:color w:val="31859B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-6">
    <w:name w:val="Light Shading Accent 6"/>
    <w:uiPriority w:val="60"/>
    <w:basedOn w:val="a3"/>
    <w:pPr>
      <w:spacing w:after="0" w:line="240" w:lineRule="auto"/>
    </w:pPr>
    <w:rPr>
      <w:color w:val="E46C0A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afb">
    <w:name w:val="Light List"/>
    <w:uiPriority w:val="61"/>
    <w:basedOn w:val="a3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-10">
    <w:name w:val="Light List Accent 1"/>
    <w:uiPriority w:val="61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uiPriority w:val="61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uiPriority w:val="61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uiPriority w:val="61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uiPriority w:val="61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uiPriority w:val="61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uiPriority w:val="62"/>
    <w:basedOn w:val="a3"/>
    <w:pPr>
      <w:spacing w:after="0" w:line="240" w:lineRule="auto"/>
    </w:p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-11">
    <w:name w:val="Light Grid Accent 1"/>
    <w:uiPriority w:val="62"/>
    <w:basedOn w:val="a3"/>
    <w:pPr>
      <w:spacing w:after="0" w:line="240" w:lineRule="auto"/>
    </w:p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uiPriority w:val="62"/>
    <w:basedOn w:val="a3"/>
    <w:pPr>
      <w:spacing w:after="0" w:line="240" w:lineRule="auto"/>
    </w:p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uiPriority w:val="62"/>
    <w:basedOn w:val="a3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uiPriority w:val="62"/>
    <w:basedOn w:val="a3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uiPriority w:val="62"/>
    <w:basedOn w:val="a3"/>
    <w:pPr>
      <w:spacing w:after="0" w:line="240" w:lineRule="auto"/>
    </w:p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uiPriority w:val="62"/>
    <w:basedOn w:val="a3"/>
    <w:pPr>
      <w:spacing w:after="0" w:line="240" w:lineRule="auto"/>
    </w:p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uiPriority w:val="63"/>
    <w:basedOn w:val="a3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uiPriority w:val="63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uiPriority w:val="63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uiPriority w:val="63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uiPriority w:val="63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uiPriority w:val="63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uiPriority w:val="63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uiPriority w:val="64"/>
    <w:basedOn w:val="a3"/>
    <w:pPr>
      <w:spacing w:after="0" w:line="240" w:lineRule="auto"/>
    </w:pPr>
    <w:tblPr>
      <w:tblBorders>
        <w:top w:val="single" w:sz="18" w:space="0" w:color="auto"/>
        <w:bottom w:val="single" w:sz="18" w:space="0" w:color="auto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000000" w:themeColor="dk1"/>
        <w:bottom w:val="single" w:sz="8" w:space="0" w:color="000000" w:themeColor="dk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1-10">
    <w:name w:val="Medium List 1 Accent 1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F81BD" w:themeColor="accent1"/>
        <w:bottom w:val="single" w:sz="8" w:space="0" w:color="4F81BD" w:themeColor="accent1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C0504D" w:themeColor="accent2"/>
        <w:bottom w:val="single" w:sz="8" w:space="0" w:color="C0504D" w:themeColor="accent2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1-30">
    <w:name w:val="Medium List 1 Accent 3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9BBB59" w:themeColor="accent3"/>
        <w:bottom w:val="single" w:sz="8" w:space="0" w:color="9BBB59" w:themeColor="accent3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8064A2" w:themeColor="accent4"/>
        <w:bottom w:val="single" w:sz="8" w:space="0" w:color="8064A2" w:themeColor="accent4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4BACC6" w:themeColor="accent5"/>
        <w:bottom w:val="single" w:sz="8" w:space="0" w:color="4BACC6" w:themeColor="accent5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1-60">
    <w:name w:val="Medium List 1 Accent 6"/>
    <w:uiPriority w:val="65"/>
    <w:basedOn w:val="a3"/>
    <w:pPr>
      <w:spacing w:after="0" w:line="240" w:lineRule="auto"/>
    </w:pPr>
    <w:rPr>
      <w:color w:val="000000"/>
    </w:rPr>
    <w:tblPr>
      <w:tblBorders>
        <w:top w:val="single" w:sz="8" w:space="0" w:color="F79646" w:themeColor="accent6"/>
        <w:bottom w:val="single" w:sz="8" w:space="0" w:color="F79646" w:themeColor="accent6"/>
      </w:tblBorders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26">
    <w:name w:val="Medium Lis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uiPriority w:val="66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uiPriority w:val="67"/>
    <w:basedOn w:val="a3"/>
    <w:pPr>
      <w:spacing w:after="0" w:line="240" w:lineRule="auto"/>
    </w:pPr>
    <w:tblPr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1-11">
    <w:name w:val="Medium Grid 1 Accent 1"/>
    <w:uiPriority w:val="67"/>
    <w:basedOn w:val="a3"/>
    <w:pPr>
      <w:spacing w:after="0" w:line="240" w:lineRule="auto"/>
    </w:pPr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-21">
    <w:name w:val="Medium Grid 1 Accent 2"/>
    <w:uiPriority w:val="67"/>
    <w:basedOn w:val="a3"/>
    <w:pPr>
      <w:spacing w:after="0" w:line="240" w:lineRule="auto"/>
    </w:p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uiPriority w:val="67"/>
    <w:basedOn w:val="a3"/>
    <w:pPr>
      <w:spacing w:after="0" w:line="240" w:lineRule="auto"/>
    </w:pPr>
    <w:tblPr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uiPriority w:val="67"/>
    <w:basedOn w:val="a3"/>
    <w:pPr>
      <w:spacing w:after="0" w:line="240" w:lineRule="auto"/>
    </w:pPr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uiPriority w:val="67"/>
    <w:basedOn w:val="a3"/>
    <w:pPr>
      <w:spacing w:after="0" w:line="240" w:lineRule="auto"/>
    </w:pPr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uiPriority w:val="67"/>
    <w:basedOn w:val="a3"/>
    <w:pPr>
      <w:spacing w:after="0" w:line="240" w:lineRule="auto"/>
    </w:pPr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11">
    <w:name w:val="Medium Grid 2 Accent 1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21">
    <w:name w:val="Medium Grid 2 Accent 2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31">
    <w:name w:val="Medium Grid 2 Accent 3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41">
    <w:name w:val="Medium Grid 2 Accent 4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51">
    <w:name w:val="Medium Grid 2 Accent 5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2-61">
    <w:name w:val="Medium Grid 2 Accent 6"/>
    <w:uiPriority w:val="68"/>
    <w:basedOn w:val="a3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35">
    <w:name w:val="Medium Grid 3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3-1">
    <w:name w:val="Medium Grid 3 Accent 1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3-2">
    <w:name w:val="Medium Grid 3 Accent 2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3-3">
    <w:name w:val="Medium Grid 3 Accent 3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3-4">
    <w:name w:val="Medium Grid 3 Accent 4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3-5">
    <w:name w:val="Medium Grid 3 Accent 5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3-6">
    <w:name w:val="Medium Grid 3 Accent 6"/>
    <w:uiPriority w:val="69"/>
    <w:basedOn w:val="a3"/>
    <w:pPr>
      <w:spacing w:after="0" w:line="240" w:lineRule="auto"/>
    </w:pPr>
    <w:tblPr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afd">
    <w:name w:val="Dark List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-12">
    <w:name w:val="Dark List Accent 1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-22">
    <w:name w:val="Dark List Accent 2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-32">
    <w:name w:val="Dark List Accent 3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-42">
    <w:name w:val="Dark List Accent 4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-52">
    <w:name w:val="Dark List Accent 5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-62">
    <w:name w:val="Dark List Accent 6"/>
    <w:uiPriority w:val="70"/>
    <w:basedOn w:val="a3"/>
    <w:pPr>
      <w:spacing w:after="0" w:line="240" w:lineRule="auto"/>
    </w:pPr>
    <w:rPr>
      <w:color w:val="FFFFFF"/>
    </w:rPr>
    <w:tblP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afe">
    <w:name w:val="Colorful Shading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uiPriority w:val="71"/>
    <w:basedOn w:val="a3"/>
    <w:pPr>
      <w:spacing w:after="0" w:line="240" w:lineRule="auto"/>
    </w:pPr>
    <w:rPr>
      <w:color w:val="000000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f">
    <w:name w:val="Colorful List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-14">
    <w:name w:val="Colorful List Accent 1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-44">
    <w:name w:val="Colorful List Accent 4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-54">
    <w:name w:val="Colorful List Accent 5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uiPriority w:val="72"/>
    <w:basedOn w:val="a3"/>
    <w:pPr>
      <w:spacing w:after="0" w:line="240" w:lineRule="auto"/>
    </w:pPr>
    <w:rPr>
      <w:color w:val="000000"/>
    </w:rPr>
    <w:tblP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aff0">
    <w:name w:val="Colorful Grid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-15">
    <w:name w:val="Colorful Grid Accent 1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-25">
    <w:name w:val="Colorful Grid Accent 2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uiPriority w:val="73"/>
    <w:basedOn w:val="a3"/>
    <w:pPr>
      <w:spacing w:after="0" w:line="240" w:lineRule="auto"/>
    </w:pPr>
    <w:rPr>
      <w:color w:val="000000"/>
    </w:rPr>
    <w:tblPr>
      <w:tblBorders>
        <w:insideH w:val="single" w:sz="4" w:space="0" w:color="FFFFFF" w:themeColor="lt1"/>
      </w:tblBorders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뮤지컬 남벌 무대세트 제작·설치·철거 용역 입찰공고문</dc:title>
  <dc:subject>2026 대형 뮤지컬 시범공연 지원사업</dc:subject>
  <dc:creator>python-docx</dc:creator>
  <cp:keywords/>
  <dc:description/>
  <cp:lastModifiedBy>user</cp:lastModifiedBy>
  <cp:revision>1</cp:revision>
  <dcterms:created xsi:type="dcterms:W3CDTF">2026-09-18T05:18:00Z</dcterms:created>
  <dcterms:modified xsi:type="dcterms:W3CDTF">2026-10-02T10:55:18Z</dcterms:modified>
  <cp:version>1100.0100.01</cp:version>
</cp:coreProperties>
</file>